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4C" w:rsidRDefault="005A0A4C" w:rsidP="005A0A4C">
      <w:pPr>
        <w:tabs>
          <w:tab w:val="left" w:pos="4905"/>
        </w:tabs>
        <w:ind w:right="150"/>
        <w:rPr>
          <w:rFonts w:ascii="方正大标宋简体" w:eastAsia="方正大标宋简体" w:hAnsi="宋体"/>
          <w:sz w:val="42"/>
          <w:szCs w:val="42"/>
        </w:rPr>
      </w:pPr>
      <w:r>
        <w:rPr>
          <w:rFonts w:ascii="方正大标宋简体" w:eastAsia="方正大标宋简体" w:hAnsi="宋体" w:hint="eastAsia"/>
          <w:sz w:val="42"/>
          <w:szCs w:val="42"/>
        </w:rPr>
        <w:t>附</w:t>
      </w:r>
      <w:r>
        <w:rPr>
          <w:rFonts w:ascii="方正大标宋简体" w:eastAsia="方正大标宋简体" w:hAnsi="宋体" w:hint="eastAsia"/>
          <w:sz w:val="42"/>
          <w:szCs w:val="42"/>
        </w:rPr>
        <w:t>件</w:t>
      </w:r>
      <w:bookmarkStart w:id="0" w:name="_GoBack"/>
      <w:bookmarkEnd w:id="0"/>
      <w:r>
        <w:rPr>
          <w:rFonts w:ascii="方正大标宋简体" w:eastAsia="方正大标宋简体" w:hAnsi="宋体"/>
          <w:sz w:val="42"/>
          <w:szCs w:val="42"/>
        </w:rPr>
        <w:t>2</w:t>
      </w:r>
    </w:p>
    <w:p w:rsidR="005A0A4C" w:rsidRDefault="005A0A4C" w:rsidP="005A0A4C">
      <w:pPr>
        <w:tabs>
          <w:tab w:val="left" w:pos="4905"/>
        </w:tabs>
        <w:ind w:right="150"/>
        <w:rPr>
          <w:rFonts w:ascii="方正大标宋简体" w:eastAsia="方正大标宋简体" w:hAnsi="宋体"/>
          <w:sz w:val="42"/>
          <w:szCs w:val="42"/>
        </w:rPr>
      </w:pPr>
    </w:p>
    <w:p w:rsidR="005A0A4C" w:rsidRDefault="005A0A4C" w:rsidP="005A0A4C">
      <w:pPr>
        <w:keepNext/>
        <w:keepLines/>
        <w:spacing w:line="540" w:lineRule="exact"/>
        <w:jc w:val="center"/>
        <w:outlineLvl w:val="0"/>
        <w:rPr>
          <w:rFonts w:ascii="Times" w:eastAsia="方正大标宋简体" w:hAnsi="Times"/>
          <w:bCs/>
          <w:kern w:val="44"/>
          <w:sz w:val="42"/>
          <w:szCs w:val="42"/>
        </w:rPr>
      </w:pPr>
      <w:bookmarkStart w:id="1" w:name="_Toc77019319"/>
      <w:bookmarkEnd w:id="1"/>
      <w:r>
        <w:rPr>
          <w:rFonts w:ascii="Times" w:eastAsia="方正大标宋简体" w:hAnsi="Times" w:hint="eastAsia"/>
          <w:bCs/>
          <w:kern w:val="44"/>
          <w:sz w:val="42"/>
          <w:szCs w:val="42"/>
        </w:rPr>
        <w:t>《上海国际能源交易中心异常交易行为管理细则》</w:t>
      </w:r>
      <w:r>
        <w:rPr>
          <w:rFonts w:ascii="Times" w:eastAsia="方正大标宋简体" w:hAnsi="Times"/>
          <w:bCs/>
          <w:kern w:val="44"/>
          <w:sz w:val="42"/>
          <w:szCs w:val="42"/>
        </w:rPr>
        <w:t>条文</w:t>
      </w:r>
      <w:r>
        <w:rPr>
          <w:rFonts w:ascii="Times" w:eastAsia="方正大标宋简体" w:hAnsi="Times" w:hint="eastAsia"/>
          <w:bCs/>
          <w:kern w:val="44"/>
          <w:sz w:val="42"/>
          <w:szCs w:val="42"/>
        </w:rPr>
        <w:t>修订</w:t>
      </w:r>
      <w:r>
        <w:rPr>
          <w:rFonts w:ascii="Times" w:eastAsia="方正大标宋简体" w:hAnsi="Times"/>
          <w:bCs/>
          <w:kern w:val="44"/>
          <w:sz w:val="42"/>
          <w:szCs w:val="42"/>
        </w:rPr>
        <w:t>对照表</w:t>
      </w:r>
    </w:p>
    <w:p w:rsidR="005A0A4C" w:rsidRDefault="005A0A4C" w:rsidP="005A0A4C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>
        <w:rPr>
          <w:rFonts w:ascii="Times" w:eastAsia="方正仿宋简体" w:hAnsi="Times"/>
          <w:sz w:val="30"/>
          <w:szCs w:val="30"/>
        </w:rPr>
        <w:t>注：加</w:t>
      </w:r>
      <w:r>
        <w:rPr>
          <w:rFonts w:ascii="Times" w:eastAsia="方正仿宋简体" w:hAnsi="Times" w:hint="eastAsia"/>
          <w:sz w:val="30"/>
          <w:szCs w:val="30"/>
        </w:rPr>
        <w:t>双</w:t>
      </w:r>
      <w:r>
        <w:rPr>
          <w:rFonts w:ascii="Times" w:eastAsia="方正仿宋简体" w:hAnsi="Times"/>
          <w:sz w:val="30"/>
          <w:szCs w:val="30"/>
        </w:rPr>
        <w:t>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564"/>
        <w:gridCol w:w="4750"/>
      </w:tblGrid>
      <w:tr w:rsidR="005A0A4C" w:rsidTr="005639BF">
        <w:trPr>
          <w:trHeight w:val="135"/>
        </w:trPr>
        <w:tc>
          <w:tcPr>
            <w:tcW w:w="5564" w:type="dxa"/>
            <w:shd w:val="clear" w:color="auto" w:fill="4BACC6"/>
          </w:tcPr>
          <w:p w:rsidR="005A0A4C" w:rsidRDefault="005A0A4C" w:rsidP="005639BF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修订方案</w:t>
            </w:r>
          </w:p>
        </w:tc>
        <w:tc>
          <w:tcPr>
            <w:tcW w:w="4750" w:type="dxa"/>
            <w:shd w:val="clear" w:color="auto" w:fill="4BACC6"/>
          </w:tcPr>
          <w:p w:rsidR="005A0A4C" w:rsidRDefault="005A0A4C" w:rsidP="005639BF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20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21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11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6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日版本</w:t>
            </w:r>
          </w:p>
        </w:tc>
      </w:tr>
      <w:tr w:rsidR="005A0A4C" w:rsidTr="005639BF">
        <w:trPr>
          <w:trHeight w:val="135"/>
        </w:trPr>
        <w:tc>
          <w:tcPr>
            <w:tcW w:w="5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A0A4C" w:rsidRDefault="005A0A4C" w:rsidP="005639BF">
            <w:pPr>
              <w:tabs>
                <w:tab w:val="left" w:pos="1444"/>
              </w:tabs>
              <w:spacing w:line="56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ascii="Calibri" w:eastAsia="方正仿宋简体" w:hAnsi="Calibri" w:hint="eastAsia"/>
                <w:b/>
                <w:sz w:val="30"/>
                <w:szCs w:val="30"/>
              </w:rPr>
              <w:t>第九条</w:t>
            </w:r>
            <w:r>
              <w:rPr>
                <w:rFonts w:ascii="Calibri" w:eastAsia="方正仿宋简体" w:hAnsi="Calibri"/>
                <w:b/>
                <w:sz w:val="30"/>
                <w:szCs w:val="30"/>
              </w:rPr>
              <w:tab/>
            </w:r>
            <w:proofErr w:type="gramStart"/>
            <w:r>
              <w:rPr>
                <w:rFonts w:ascii="Calibri" w:eastAsia="方正仿宋简体" w:hAnsi="Calibri" w:hint="eastAsia"/>
                <w:sz w:val="30"/>
                <w:szCs w:val="30"/>
              </w:rPr>
              <w:t>因</w:t>
            </w:r>
            <w:r>
              <w:rPr>
                <w:rFonts w:eastAsia="方正仿宋简体"/>
                <w:sz w:val="30"/>
                <w:szCs w:val="30"/>
              </w:rPr>
              <w:t>套期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保值交易</w:t>
            </w:r>
            <w:r>
              <w:rPr>
                <w:rFonts w:eastAsia="方正仿宋简体"/>
                <w:dstrike/>
                <w:sz w:val="30"/>
                <w:szCs w:val="30"/>
              </w:rPr>
              <w:t>、立即全部成交否则自动撤销指令（</w:t>
            </w:r>
            <w:r>
              <w:rPr>
                <w:rFonts w:eastAsia="方正仿宋简体"/>
                <w:dstrike/>
                <w:sz w:val="30"/>
                <w:szCs w:val="30"/>
              </w:rPr>
              <w:t>FOK</w:t>
            </w:r>
            <w:r>
              <w:rPr>
                <w:rFonts w:eastAsia="方正仿宋简体"/>
                <w:dstrike/>
                <w:sz w:val="30"/>
                <w:szCs w:val="30"/>
              </w:rPr>
              <w:t>）和立即成交剩余指令自动撤销指令（</w:t>
            </w:r>
            <w:r>
              <w:rPr>
                <w:rFonts w:eastAsia="方正仿宋简体"/>
                <w:dstrike/>
                <w:sz w:val="30"/>
                <w:szCs w:val="30"/>
              </w:rPr>
              <w:t>FAK</w:t>
            </w:r>
            <w:r>
              <w:rPr>
                <w:rFonts w:eastAsia="方正仿宋简体"/>
                <w:dstrike/>
                <w:sz w:val="30"/>
                <w:szCs w:val="30"/>
              </w:rPr>
              <w:t>）</w:t>
            </w:r>
            <w:r>
              <w:rPr>
                <w:rFonts w:eastAsia="方正仿宋简体"/>
                <w:sz w:val="30"/>
                <w:szCs w:val="30"/>
              </w:rPr>
              <w:t>等产生的自成交、频繁报撤单、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大额报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撤单等行为不构成异常交易行为。</w:t>
            </w:r>
          </w:p>
          <w:p w:rsidR="005A0A4C" w:rsidRDefault="005A0A4C" w:rsidP="005639BF">
            <w:pPr>
              <w:tabs>
                <w:tab w:val="left" w:pos="1444"/>
              </w:tabs>
              <w:spacing w:line="560" w:lineRule="exact"/>
              <w:rPr>
                <w:rFonts w:ascii="Calibri" w:eastAsia="方正仿宋简体" w:hAnsi="Calibri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除</w:t>
            </w:r>
            <w:r>
              <w:rPr>
                <w:rFonts w:eastAsia="方正仿宋简体"/>
                <w:b/>
                <w:color w:val="FF0000"/>
                <w:sz w:val="30"/>
                <w:szCs w:val="30"/>
              </w:rPr>
              <w:t>上述情形外，</w:t>
            </w:r>
            <w:r>
              <w:rPr>
                <w:rFonts w:eastAsia="方正仿宋简体"/>
                <w:sz w:val="30"/>
                <w:szCs w:val="30"/>
              </w:rPr>
              <w:t>实施申报费收费的合约上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符合能源</w:t>
            </w:r>
            <w:r>
              <w:rPr>
                <w:rFonts w:eastAsia="方正仿宋简体"/>
                <w:b/>
                <w:color w:val="FF0000"/>
                <w:sz w:val="30"/>
                <w:szCs w:val="30"/>
              </w:rPr>
              <w:t>中心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公布</w:t>
            </w:r>
            <w:r>
              <w:rPr>
                <w:rFonts w:eastAsia="方正仿宋简体"/>
                <w:b/>
                <w:color w:val="FF0000"/>
                <w:sz w:val="30"/>
                <w:szCs w:val="30"/>
              </w:rPr>
              <w:t>情形</w:t>
            </w:r>
            <w:r>
              <w:rPr>
                <w:rFonts w:eastAsia="方正仿宋简体"/>
                <w:dstrike/>
                <w:sz w:val="30"/>
                <w:szCs w:val="30"/>
              </w:rPr>
              <w:t>产生</w:t>
            </w:r>
            <w:r>
              <w:rPr>
                <w:rFonts w:eastAsia="方正仿宋简体"/>
                <w:sz w:val="30"/>
                <w:szCs w:val="30"/>
              </w:rPr>
              <w:t>的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频繁报撤单行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为不构成异常交易行为</w:t>
            </w:r>
            <w:r>
              <w:rPr>
                <w:rFonts w:eastAsia="方正仿宋简体" w:hint="eastAsia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4750" w:type="dxa"/>
            <w:tcBorders>
              <w:top w:val="single" w:sz="8" w:space="0" w:color="4BACC6"/>
              <w:bottom w:val="single" w:sz="8" w:space="0" w:color="4BACC6"/>
            </w:tcBorders>
          </w:tcPr>
          <w:p w:rsidR="005A0A4C" w:rsidRDefault="005A0A4C" w:rsidP="005639BF">
            <w:pPr>
              <w:tabs>
                <w:tab w:val="left" w:pos="1444"/>
              </w:tabs>
              <w:spacing w:line="56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ascii="Calibri" w:eastAsia="方正仿宋简体" w:hAnsi="Calibri" w:hint="eastAsia"/>
                <w:b/>
                <w:sz w:val="30"/>
                <w:szCs w:val="30"/>
              </w:rPr>
              <w:t>第九条</w:t>
            </w:r>
            <w:r>
              <w:rPr>
                <w:rFonts w:ascii="Calibri" w:eastAsia="方正仿宋简体" w:hAnsi="Calibri"/>
                <w:b/>
                <w:sz w:val="30"/>
                <w:szCs w:val="30"/>
              </w:rPr>
              <w:tab/>
            </w:r>
            <w:proofErr w:type="gramStart"/>
            <w:r>
              <w:rPr>
                <w:rFonts w:ascii="Calibri" w:eastAsia="方正仿宋简体" w:hAnsi="Calibri" w:hint="eastAsia"/>
                <w:sz w:val="30"/>
                <w:szCs w:val="30"/>
              </w:rPr>
              <w:t>因</w:t>
            </w:r>
            <w:r>
              <w:rPr>
                <w:rFonts w:eastAsia="方正仿宋简体"/>
                <w:sz w:val="30"/>
                <w:szCs w:val="30"/>
              </w:rPr>
              <w:t>套期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保值交易、立即全部成交否则自动撤销指令（</w:t>
            </w:r>
            <w:r>
              <w:rPr>
                <w:rFonts w:eastAsia="方正仿宋简体"/>
                <w:sz w:val="30"/>
                <w:szCs w:val="30"/>
              </w:rPr>
              <w:t>FOK</w:t>
            </w:r>
            <w:r>
              <w:rPr>
                <w:rFonts w:eastAsia="方正仿宋简体"/>
                <w:sz w:val="30"/>
                <w:szCs w:val="30"/>
              </w:rPr>
              <w:t>）和立即成交剩余指令自动撤销指令（</w:t>
            </w:r>
            <w:r>
              <w:rPr>
                <w:rFonts w:eastAsia="方正仿宋简体"/>
                <w:sz w:val="30"/>
                <w:szCs w:val="30"/>
              </w:rPr>
              <w:t>FAK</w:t>
            </w:r>
            <w:r>
              <w:rPr>
                <w:rFonts w:eastAsia="方正仿宋简体"/>
                <w:sz w:val="30"/>
                <w:szCs w:val="30"/>
              </w:rPr>
              <w:t>）等产生的自成交、频繁报撤单、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大额报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撤单等行为不构成异常交易行为。</w:t>
            </w:r>
          </w:p>
          <w:p w:rsidR="005A0A4C" w:rsidRDefault="005A0A4C" w:rsidP="005639BF">
            <w:pPr>
              <w:tabs>
                <w:tab w:val="left" w:pos="1444"/>
              </w:tabs>
              <w:spacing w:line="560" w:lineRule="exact"/>
              <w:rPr>
                <w:rFonts w:ascii="Calibri" w:eastAsia="方正仿宋简体" w:hAnsi="Calibri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实施申报费收费的合约上产生的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频繁报撤单行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为不构成异常交易行为。</w:t>
            </w:r>
          </w:p>
        </w:tc>
      </w:tr>
      <w:tr w:rsidR="005A0A4C" w:rsidTr="005639BF">
        <w:trPr>
          <w:trHeight w:val="135"/>
        </w:trPr>
        <w:tc>
          <w:tcPr>
            <w:tcW w:w="55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A0A4C" w:rsidRDefault="005A0A4C" w:rsidP="005639BF">
            <w:pPr>
              <w:spacing w:line="560" w:lineRule="exact"/>
              <w:contextualSpacing/>
              <w:rPr>
                <w:rFonts w:eastAsia="方正仿宋简体" w:hint="eastAsia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z w:val="30"/>
                <w:szCs w:val="30"/>
              </w:rPr>
              <w:t>第二十五条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sz w:val="30"/>
                <w:szCs w:val="30"/>
              </w:rPr>
              <w:t>本细则自</w:t>
            </w:r>
            <w:r>
              <w:rPr>
                <w:rFonts w:eastAsia="方正仿宋简体"/>
                <w:b/>
                <w:color w:val="FF0000"/>
                <w:sz w:val="30"/>
                <w:szCs w:val="30"/>
              </w:rPr>
              <w:t>XXXX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XX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XX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日</w:t>
            </w:r>
            <w:r>
              <w:rPr>
                <w:rFonts w:eastAsia="方正仿宋简体" w:hint="eastAsia"/>
                <w:dstrike/>
                <w:sz w:val="30"/>
                <w:szCs w:val="30"/>
              </w:rPr>
              <w:t>2021</w:t>
            </w:r>
            <w:r>
              <w:rPr>
                <w:rFonts w:eastAsia="方正仿宋简体" w:hint="eastAsia"/>
                <w:dstrike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dstrike/>
                <w:sz w:val="30"/>
                <w:szCs w:val="30"/>
              </w:rPr>
              <w:t>11</w:t>
            </w:r>
            <w:r>
              <w:rPr>
                <w:rFonts w:eastAsia="方正仿宋简体" w:hint="eastAsia"/>
                <w:dstrike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dstrike/>
                <w:sz w:val="30"/>
                <w:szCs w:val="30"/>
              </w:rPr>
              <w:t>26</w:t>
            </w:r>
            <w:r>
              <w:rPr>
                <w:rFonts w:eastAsia="方正仿宋简体" w:hint="eastAsia"/>
                <w:dstrike/>
                <w:sz w:val="30"/>
                <w:szCs w:val="30"/>
              </w:rPr>
              <w:t>日</w:t>
            </w:r>
            <w:r>
              <w:rPr>
                <w:rFonts w:eastAsia="方正仿宋简体" w:hint="eastAsia"/>
                <w:sz w:val="30"/>
                <w:szCs w:val="30"/>
              </w:rPr>
              <w:t>起实施。</w:t>
            </w:r>
          </w:p>
        </w:tc>
        <w:tc>
          <w:tcPr>
            <w:tcW w:w="4750" w:type="dxa"/>
            <w:tcBorders>
              <w:top w:val="single" w:sz="8" w:space="0" w:color="4BACC6"/>
              <w:bottom w:val="single" w:sz="8" w:space="0" w:color="4BACC6"/>
            </w:tcBorders>
          </w:tcPr>
          <w:p w:rsidR="005A0A4C" w:rsidRDefault="005A0A4C" w:rsidP="005639BF">
            <w:pPr>
              <w:spacing w:line="560" w:lineRule="exact"/>
              <w:contextualSpacing/>
              <w:rPr>
                <w:rFonts w:eastAsia="方正仿宋简体" w:hint="eastAsia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z w:val="30"/>
                <w:szCs w:val="30"/>
              </w:rPr>
              <w:t>第二十五条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sz w:val="30"/>
                <w:szCs w:val="30"/>
              </w:rPr>
              <w:t>本细则自</w:t>
            </w:r>
            <w:r>
              <w:rPr>
                <w:rFonts w:eastAsia="方正仿宋简体" w:hint="eastAsia"/>
                <w:sz w:val="30"/>
                <w:szCs w:val="30"/>
              </w:rPr>
              <w:t>2021</w:t>
            </w:r>
            <w:r>
              <w:rPr>
                <w:rFonts w:eastAsia="方正仿宋简体" w:hint="eastAsia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sz w:val="30"/>
                <w:szCs w:val="30"/>
              </w:rPr>
              <w:t>11</w:t>
            </w:r>
            <w:r>
              <w:rPr>
                <w:rFonts w:eastAsia="方正仿宋简体" w:hint="eastAsia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>26</w:t>
            </w:r>
            <w:r>
              <w:rPr>
                <w:rFonts w:eastAsia="方正仿宋简体" w:hint="eastAsia"/>
                <w:sz w:val="30"/>
                <w:szCs w:val="30"/>
              </w:rPr>
              <w:t>日起实施。</w:t>
            </w:r>
          </w:p>
        </w:tc>
      </w:tr>
    </w:tbl>
    <w:p w:rsidR="005A0A4C" w:rsidRDefault="005A0A4C" w:rsidP="005A0A4C">
      <w:pPr>
        <w:rPr>
          <w:rFonts w:ascii="Calibri" w:hAnsi="Calibri"/>
          <w:szCs w:val="22"/>
        </w:rPr>
      </w:pPr>
    </w:p>
    <w:p w:rsidR="00087449" w:rsidRPr="005A0A4C" w:rsidRDefault="00087449"/>
    <w:sectPr w:rsidR="00087449" w:rsidRPr="005A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C"/>
    <w:rsid w:val="00087449"/>
    <w:rsid w:val="005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FC7FE-6527-4FB6-B219-BB234810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A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0A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cp:lastPrinted>2024-07-04T10:25:00Z</cp:lastPrinted>
  <dcterms:created xsi:type="dcterms:W3CDTF">2024-07-04T10:25:00Z</dcterms:created>
  <dcterms:modified xsi:type="dcterms:W3CDTF">2024-07-04T10:26:00Z</dcterms:modified>
</cp:coreProperties>
</file>