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B6" w:rsidRPr="00E413B6" w:rsidRDefault="00E413B6" w:rsidP="00E413B6">
      <w:pPr>
        <w:rPr>
          <w:rFonts w:ascii="Times New Roman" w:eastAsia="方正大标宋简体" w:hAnsi="Times New Roman" w:cs="Times New Roman"/>
          <w:sz w:val="40"/>
          <w:szCs w:val="36"/>
        </w:rPr>
      </w:pPr>
      <w:bookmarkStart w:id="0" w:name="_GoBack"/>
      <w:r w:rsidRPr="00E413B6">
        <w:rPr>
          <w:rFonts w:ascii="Times New Roman" w:eastAsia="方正大标宋简体" w:hAnsi="Times New Roman" w:cs="Times New Roman"/>
          <w:sz w:val="40"/>
          <w:szCs w:val="36"/>
        </w:rPr>
        <w:t>附件</w:t>
      </w:r>
      <w:r w:rsidRPr="00E413B6">
        <w:rPr>
          <w:rFonts w:ascii="Times New Roman" w:eastAsia="方正大标宋简体" w:hAnsi="Times New Roman" w:cs="Times New Roman"/>
          <w:sz w:val="40"/>
          <w:szCs w:val="36"/>
        </w:rPr>
        <w:t>1</w:t>
      </w:r>
    </w:p>
    <w:bookmarkEnd w:id="0"/>
    <w:p w:rsidR="00E413B6" w:rsidRDefault="00E413B6" w:rsidP="00E413B6"/>
    <w:p w:rsidR="00E413B6" w:rsidRPr="00232713" w:rsidRDefault="00E413B6" w:rsidP="00E413B6">
      <w:pPr>
        <w:spacing w:line="560" w:lineRule="exact"/>
        <w:jc w:val="center"/>
        <w:rPr>
          <w:rFonts w:ascii="方正大标宋简体" w:eastAsia="方正大标宋简体" w:hAnsi="Times New Roman" w:cs="Times New Roman"/>
          <w:bCs/>
          <w:sz w:val="40"/>
          <w:szCs w:val="36"/>
        </w:rPr>
      </w:pPr>
      <w:r w:rsidRPr="00232713">
        <w:rPr>
          <w:rFonts w:ascii="方正大标宋简体" w:eastAsia="方正大标宋简体" w:hAnsi="Times New Roman" w:cs="Times New Roman" w:hint="eastAsia"/>
          <w:sz w:val="40"/>
          <w:szCs w:val="36"/>
        </w:rPr>
        <w:t>关于</w:t>
      </w:r>
      <w:r w:rsidRPr="00EE5C85">
        <w:rPr>
          <w:rFonts w:ascii="方正大标宋简体" w:eastAsia="方正大标宋简体" w:hAnsi="Times New Roman" w:cs="Times New Roman" w:hint="eastAsia"/>
          <w:sz w:val="40"/>
          <w:szCs w:val="36"/>
        </w:rPr>
        <w:t>《上海国际能源交易中心交割细则》</w:t>
      </w:r>
      <w:r w:rsidRPr="00232713">
        <w:rPr>
          <w:rFonts w:ascii="方正大标宋简体" w:eastAsia="方正大标宋简体" w:hAnsi="Times New Roman" w:cs="Times New Roman" w:hint="eastAsia"/>
          <w:bCs/>
          <w:sz w:val="40"/>
          <w:szCs w:val="36"/>
        </w:rPr>
        <w:t>的</w:t>
      </w:r>
      <w:r w:rsidRPr="00232713">
        <w:rPr>
          <w:rFonts w:ascii="方正大标宋简体" w:eastAsia="方正大标宋简体" w:hAnsi="Times New Roman" w:cs="Times New Roman" w:hint="eastAsia"/>
          <w:sz w:val="40"/>
          <w:szCs w:val="36"/>
        </w:rPr>
        <w:t>修订说明</w:t>
      </w:r>
    </w:p>
    <w:p w:rsidR="00E413B6" w:rsidRDefault="00E413B6" w:rsidP="00E413B6">
      <w:pPr>
        <w:spacing w:line="560" w:lineRule="exact"/>
      </w:pPr>
    </w:p>
    <w:p w:rsidR="00E413B6" w:rsidRPr="00337B0E" w:rsidRDefault="00E413B6" w:rsidP="00E413B6">
      <w:pPr>
        <w:spacing w:line="560" w:lineRule="exact"/>
        <w:ind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交割是连接现货和期货市场的桥梁，交割结算价作为实物交割环节用于商品交收的基准价格，在期货市场价格发现的过程中发挥着重要作用。</w:t>
      </w:r>
      <w:r w:rsidRPr="004633B4">
        <w:rPr>
          <w:rFonts w:ascii="Times New Roman" w:eastAsia="方正仿宋简体" w:hAnsi="Times New Roman" w:cs="Times New Roman"/>
          <w:sz w:val="30"/>
          <w:szCs w:val="30"/>
        </w:rPr>
        <w:t>为</w:t>
      </w:r>
      <w:r w:rsidRPr="00A86C29">
        <w:rPr>
          <w:rFonts w:ascii="Times New Roman" w:eastAsia="方正仿宋简体" w:hAnsi="Times New Roman" w:cs="Times New Roman" w:hint="eastAsia"/>
          <w:sz w:val="30"/>
          <w:szCs w:val="30"/>
        </w:rPr>
        <w:t>进一步提高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期货</w:t>
      </w:r>
      <w:r>
        <w:rPr>
          <w:rFonts w:ascii="Times New Roman" w:eastAsia="方正仿宋简体" w:hAnsi="Times New Roman" w:cs="Times New Roman"/>
          <w:sz w:val="30"/>
          <w:szCs w:val="30"/>
        </w:rPr>
        <w:t>市场</w:t>
      </w:r>
      <w:r w:rsidRPr="00A86C29">
        <w:rPr>
          <w:rFonts w:ascii="Times New Roman" w:eastAsia="方正仿宋简体" w:hAnsi="Times New Roman" w:cs="Times New Roman"/>
          <w:sz w:val="30"/>
          <w:szCs w:val="30"/>
        </w:rPr>
        <w:t>价格发现的有效性</w:t>
      </w:r>
      <w:r w:rsidRPr="00A86C29">
        <w:rPr>
          <w:rFonts w:ascii="Times New Roman" w:eastAsia="方正仿宋简体" w:hAnsi="Times New Roman" w:cs="Times New Roman" w:hint="eastAsia"/>
          <w:sz w:val="30"/>
          <w:szCs w:val="30"/>
        </w:rPr>
        <w:t>和</w:t>
      </w:r>
      <w:r w:rsidRPr="00A86C29">
        <w:rPr>
          <w:rFonts w:ascii="Times New Roman" w:eastAsia="方正仿宋简体" w:hAnsi="Times New Roman" w:cs="Times New Roman"/>
          <w:sz w:val="30"/>
          <w:szCs w:val="30"/>
        </w:rPr>
        <w:t>抗操纵性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，上海国际能源</w:t>
      </w:r>
      <w:r>
        <w:rPr>
          <w:rFonts w:ascii="Times New Roman" w:eastAsia="方正仿宋简体" w:hAnsi="Times New Roman" w:cs="Times New Roman"/>
          <w:sz w:val="30"/>
          <w:szCs w:val="30"/>
        </w:rPr>
        <w:t>交易中心（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以下</w:t>
      </w:r>
      <w:r>
        <w:rPr>
          <w:rFonts w:ascii="Times New Roman" w:eastAsia="方正仿宋简体" w:hAnsi="Times New Roman" w:cs="Times New Roman"/>
          <w:sz w:val="30"/>
          <w:szCs w:val="30"/>
        </w:rPr>
        <w:t>简称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能源中心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在充分考虑</w:t>
      </w:r>
      <w:r w:rsidRPr="004633B4">
        <w:rPr>
          <w:rFonts w:ascii="Times New Roman" w:eastAsia="方正仿宋简体" w:hAnsi="Times New Roman" w:cs="Times New Roman"/>
          <w:sz w:val="30"/>
          <w:szCs w:val="30"/>
        </w:rPr>
        <w:t>品种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特性</w:t>
      </w:r>
      <w:r w:rsidRPr="004633B4">
        <w:rPr>
          <w:rFonts w:ascii="Times New Roman" w:eastAsia="方正仿宋简体" w:hAnsi="Times New Roman" w:cs="Times New Roman"/>
          <w:sz w:val="30"/>
          <w:szCs w:val="30"/>
        </w:rPr>
        <w:t>和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现货</w:t>
      </w:r>
      <w:r>
        <w:rPr>
          <w:rFonts w:ascii="Times New Roman" w:eastAsia="方正仿宋简体" w:hAnsi="Times New Roman" w:cs="Times New Roman"/>
          <w:sz w:val="30"/>
          <w:szCs w:val="30"/>
        </w:rPr>
        <w:t>市场</w:t>
      </w:r>
      <w:r w:rsidRPr="004633B4">
        <w:rPr>
          <w:rFonts w:ascii="Times New Roman" w:eastAsia="方正仿宋简体" w:hAnsi="Times New Roman" w:cs="Times New Roman"/>
          <w:sz w:val="30"/>
          <w:szCs w:val="30"/>
        </w:rPr>
        <w:t>习惯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</w:t>
      </w:r>
      <w:r>
        <w:rPr>
          <w:rFonts w:ascii="Times New Roman" w:eastAsia="方正仿宋简体" w:hAnsi="Times New Roman" w:cs="Times New Roman"/>
          <w:sz w:val="30"/>
          <w:szCs w:val="30"/>
        </w:rPr>
        <w:t>基础上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，拟简化</w:t>
      </w:r>
      <w:r>
        <w:rPr>
          <w:rFonts w:ascii="Times New Roman" w:eastAsia="方正仿宋简体" w:hAnsi="Times New Roman" w:cs="Times New Roman"/>
          <w:sz w:val="30"/>
          <w:szCs w:val="30"/>
        </w:rPr>
        <w:t>并统一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当前</w:t>
      </w:r>
      <w:r w:rsidRPr="004633B4">
        <w:rPr>
          <w:rFonts w:ascii="Times New Roman" w:eastAsia="方正仿宋简体" w:hAnsi="Times New Roman" w:cs="Times New Roman"/>
          <w:sz w:val="30"/>
          <w:szCs w:val="30"/>
        </w:rPr>
        <w:t>交割结算价的计算方式，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将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号</w:t>
      </w:r>
      <w:r>
        <w:rPr>
          <w:rFonts w:ascii="Times New Roman" w:eastAsia="方正仿宋简体" w:hAnsi="Times New Roman" w:cs="Times New Roman"/>
          <w:sz w:val="30"/>
          <w:szCs w:val="30"/>
        </w:rPr>
        <w:t>胶期货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品种合约</w:t>
      </w:r>
      <w:r>
        <w:rPr>
          <w:rFonts w:ascii="Times New Roman" w:eastAsia="方正仿宋简体" w:hAnsi="Times New Roman" w:cs="Times New Roman"/>
          <w:sz w:val="30"/>
          <w:szCs w:val="30"/>
        </w:rPr>
        <w:t>的交割结算价</w:t>
      </w:r>
      <w:r w:rsidRPr="004E52B0">
        <w:rPr>
          <w:rFonts w:ascii="Times New Roman" w:eastAsia="方正仿宋简体" w:hAnsi="Times New Roman" w:cs="Times New Roman" w:hint="eastAsia"/>
          <w:sz w:val="30"/>
          <w:szCs w:val="30"/>
        </w:rPr>
        <w:t>调整为</w:t>
      </w:r>
      <w:r w:rsidRPr="007061D8">
        <w:rPr>
          <w:rFonts w:ascii="方正仿宋简体" w:eastAsia="方正仿宋简体" w:hAnsi="Times New Roman" w:cs="Times New Roman" w:hint="eastAsia"/>
          <w:sz w:val="30"/>
          <w:szCs w:val="30"/>
        </w:rPr>
        <w:t>“</w:t>
      </w:r>
      <w:r w:rsidRPr="004E52B0">
        <w:rPr>
          <w:rFonts w:ascii="Times New Roman" w:eastAsia="方正仿宋简体" w:hAnsi="Times New Roman" w:cs="Times New Roman" w:hint="eastAsia"/>
          <w:sz w:val="30"/>
          <w:szCs w:val="30"/>
        </w:rPr>
        <w:t>最后</w:t>
      </w:r>
      <w:r w:rsidRPr="004E52B0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Pr="004E52B0">
        <w:rPr>
          <w:rFonts w:ascii="Times New Roman" w:eastAsia="方正仿宋简体" w:hAnsi="Times New Roman" w:cs="Times New Roman" w:hint="eastAsia"/>
          <w:sz w:val="30"/>
          <w:szCs w:val="30"/>
        </w:rPr>
        <w:t>个有成交交易日的结算价的算术平均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值</w:t>
      </w:r>
      <w:r w:rsidRPr="007061D8">
        <w:rPr>
          <w:rFonts w:ascii="方正仿宋简体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  <w:r>
        <w:rPr>
          <w:rFonts w:ascii="方正仿宋简体" w:eastAsia="方正仿宋简体" w:hint="eastAsia"/>
          <w:sz w:val="30"/>
          <w:szCs w:val="30"/>
        </w:rPr>
        <w:t>经过测算与市场调研，大部分</w:t>
      </w:r>
      <w:r>
        <w:rPr>
          <w:rFonts w:ascii="方正仿宋简体" w:eastAsia="方正仿宋简体"/>
          <w:sz w:val="30"/>
          <w:szCs w:val="30"/>
        </w:rPr>
        <w:t>情况下，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方正仿宋简体" w:eastAsia="方正仿宋简体" w:hint="eastAsia"/>
          <w:sz w:val="30"/>
          <w:szCs w:val="30"/>
        </w:rPr>
        <w:t>日算术平均值相对更加贴近现货价格，且便于市场参与者理解和适用，有利于能源中心的统一高效管理。</w:t>
      </w:r>
      <w:r w:rsidRPr="00337B0E">
        <w:rPr>
          <w:rFonts w:ascii="方正仿宋简体" w:eastAsia="方正仿宋简体" w:hint="eastAsia"/>
          <w:sz w:val="30"/>
          <w:szCs w:val="30"/>
        </w:rPr>
        <w:t>具体修订内容如下：</w:t>
      </w:r>
    </w:p>
    <w:p w:rsidR="00E413B6" w:rsidRDefault="00E413B6" w:rsidP="00E413B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将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《上海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国际能源</w:t>
      </w:r>
      <w:r>
        <w:rPr>
          <w:rFonts w:ascii="Times New Roman" w:eastAsia="方正仿宋简体" w:hAnsi="Times New Roman" w:cs="Times New Roman"/>
          <w:sz w:val="30"/>
          <w:szCs w:val="30"/>
        </w:rPr>
        <w:t>交易中心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交割</w:t>
      </w:r>
      <w:r>
        <w:rPr>
          <w:rFonts w:ascii="Times New Roman" w:eastAsia="方正仿宋简体" w:hAnsi="Times New Roman" w:cs="Times New Roman"/>
          <w:sz w:val="30"/>
          <w:szCs w:val="30"/>
        </w:rPr>
        <w:t>细则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》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第一百九十五</w:t>
      </w:r>
      <w:r>
        <w:rPr>
          <w:rFonts w:ascii="Times New Roman" w:eastAsia="方正仿宋简体" w:hAnsi="Times New Roman" w:cs="Times New Roman"/>
          <w:sz w:val="30"/>
          <w:szCs w:val="30"/>
        </w:rPr>
        <w:t>条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关于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号</w:t>
      </w:r>
      <w:r>
        <w:rPr>
          <w:rFonts w:ascii="Times New Roman" w:eastAsia="方正仿宋简体" w:hAnsi="Times New Roman" w:cs="Times New Roman"/>
          <w:sz w:val="30"/>
          <w:szCs w:val="30"/>
        </w:rPr>
        <w:t>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期货交割</w:t>
      </w:r>
      <w:r>
        <w:rPr>
          <w:rFonts w:ascii="Times New Roman" w:eastAsia="方正仿宋简体" w:hAnsi="Times New Roman" w:cs="Times New Roman"/>
          <w:sz w:val="30"/>
          <w:szCs w:val="30"/>
        </w:rPr>
        <w:t>结算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价的计算方式由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“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最后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个有成交交易日的成交价格按照成交量的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加权平均价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修改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为“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最后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个有成交交易日的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结算价</w:t>
      </w:r>
      <w:r w:rsidRPr="00AF4697">
        <w:rPr>
          <w:rFonts w:ascii="Times New Roman" w:eastAsia="方正仿宋简体" w:hAnsi="Times New Roman" w:cs="Times New Roman" w:hint="eastAsia"/>
          <w:sz w:val="30"/>
          <w:szCs w:val="30"/>
        </w:rPr>
        <w:t>的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算术平均值</w:t>
      </w:r>
      <w:r w:rsidRPr="005A07B0">
        <w:rPr>
          <w:rFonts w:ascii="Times New Roman" w:eastAsia="方正仿宋简体" w:hAnsi="Times New Roman" w:cs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A00807" w:rsidRPr="00E413B6" w:rsidRDefault="00A00807"/>
    <w:sectPr w:rsidR="00A00807" w:rsidRPr="00E4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B6"/>
    <w:rsid w:val="00A00807"/>
    <w:rsid w:val="00E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23EB-080E-433A-AF06-C8BC9B2D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3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cp:lastPrinted>2025-04-09T01:53:00Z</cp:lastPrinted>
  <dcterms:created xsi:type="dcterms:W3CDTF">2025-04-09T01:52:00Z</dcterms:created>
  <dcterms:modified xsi:type="dcterms:W3CDTF">2025-04-09T01:53:00Z</dcterms:modified>
</cp:coreProperties>
</file>