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华文中宋"/>
          <w:b/>
          <w:bCs/>
          <w:kern w:val="0"/>
          <w:sz w:val="42"/>
          <w:szCs w:val="42"/>
        </w:rPr>
      </w:pPr>
      <w:bookmarkStart w:id="0" w:name="_GoBack"/>
      <w:r>
        <w:rPr>
          <w:rFonts w:eastAsia="华文中宋"/>
          <w:b/>
          <w:bCs/>
          <w:kern w:val="0"/>
          <w:sz w:val="42"/>
          <w:szCs w:val="42"/>
        </w:rPr>
        <w:t>Appendix</w:t>
      </w:r>
      <w:bookmarkEnd w:id="0"/>
    </w:p>
    <w:p>
      <w:pPr>
        <w:widowControl/>
        <w:spacing w:line="259" w:lineRule="auto"/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  <w14:ligatures w14:val="standardContextual"/>
        </w:rPr>
      </w:pPr>
    </w:p>
    <w:p>
      <w:pPr>
        <w:widowControl/>
        <w:spacing w:line="259" w:lineRule="auto"/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  <w14:ligatures w14:val="standardContextual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  <w14:ligatures w14:val="standardContextual"/>
        </w:rPr>
        <w:t>The Adjusted Transaction Fee of Crude Oil Futures Contracts and Low Sulfur Fuel Oil Futures Contracts</w:t>
      </w:r>
    </w:p>
    <w:tbl>
      <w:tblPr>
        <w:tblStyle w:val="2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066"/>
        <w:gridCol w:w="3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14:ligatures w14:val="standardContextual"/>
              </w:rPr>
              <w:t>Contracts</w:t>
            </w:r>
          </w:p>
        </w:tc>
        <w:tc>
          <w:tcPr>
            <w:tcW w:w="3598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Transaction Fee for the Close-out of Intraday Position</w:t>
            </w: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（RMB/lot）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General Position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sc2604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sc2605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sc2606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sc2607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sc2608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sc2609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sc2610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sc2611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sc2612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sc2701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sc2702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sc2703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sc2706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sc2709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sc2712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sc2803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sc2806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sc2809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sc2812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sc2903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60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30</w:t>
            </w:r>
          </w:p>
        </w:tc>
      </w:tr>
    </w:tbl>
    <w:p>
      <w:pPr>
        <w:widowControl/>
        <w:spacing w:line="259" w:lineRule="auto"/>
        <w:jc w:val="center"/>
        <w:rPr>
          <w:rFonts w:ascii="Times New Roman" w:hAnsi="Times New Roman"/>
          <w:sz w:val="24"/>
          <w14:ligatures w14:val="standardContextual"/>
        </w:rPr>
      </w:pPr>
    </w:p>
    <w:p>
      <w:pPr>
        <w:widowControl/>
        <w:spacing w:line="259" w:lineRule="auto"/>
        <w:jc w:val="center"/>
        <w:rPr>
          <w:rFonts w:ascii="Times New Roman" w:hAnsi="Times New Roman"/>
          <w:sz w:val="24"/>
          <w14:ligatures w14:val="standardContextual"/>
        </w:rPr>
      </w:pPr>
    </w:p>
    <w:p>
      <w:pPr>
        <w:widowControl/>
        <w:spacing w:line="259" w:lineRule="auto"/>
        <w:jc w:val="center"/>
        <w:rPr>
          <w:rFonts w:ascii="Times New Roman" w:hAnsi="Times New Roman"/>
          <w:sz w:val="24"/>
          <w14:ligatures w14:val="standardContextual"/>
        </w:rPr>
      </w:pPr>
    </w:p>
    <w:p>
      <w:pPr>
        <w:widowControl/>
        <w:spacing w:line="259" w:lineRule="auto"/>
        <w:jc w:val="left"/>
        <w:rPr>
          <w:rFonts w:ascii="Times New Roman" w:hAnsi="Times New Roman"/>
          <w:sz w:val="24"/>
          <w14:ligatures w14:val="standardContextual"/>
        </w:rPr>
      </w:pPr>
    </w:p>
    <w:p>
      <w:pPr>
        <w:widowControl/>
        <w:spacing w:line="259" w:lineRule="auto"/>
        <w:jc w:val="left"/>
        <w:rPr>
          <w:rFonts w:hint="eastAsia" w:ascii="Times New Roman" w:hAnsi="Times New Roman"/>
          <w:sz w:val="24"/>
          <w14:ligatures w14:val="standardContextual"/>
        </w:rPr>
      </w:pPr>
    </w:p>
    <w:tbl>
      <w:tblPr>
        <w:tblStyle w:val="2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066"/>
        <w:gridCol w:w="3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14:ligatures w14:val="standardContextual"/>
              </w:rPr>
              <w:t>Contracts</w:t>
            </w:r>
          </w:p>
        </w:tc>
        <w:tc>
          <w:tcPr>
            <w:tcW w:w="3598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Transaction Fee for the Close-out of Intraday Position</w:t>
            </w: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（‰）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14:ligatures w14:val="standardContextual"/>
              </w:rPr>
            </w:pP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General Position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lu2604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lu2605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lu2606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lu2607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lu2608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lu2609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lu2610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lu2611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lu2612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lu2701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lu2702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4"/>
                <w:szCs w:val="24"/>
                <w14:ligatures w14:val="standardContextual"/>
              </w:rPr>
              <w:t>lu2703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1"/>
                <w14:ligatures w14:val="standardContextual"/>
              </w:rPr>
              <w:t>0.030</w:t>
            </w:r>
          </w:p>
        </w:tc>
        <w:tc>
          <w:tcPr>
            <w:tcW w:w="17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59" w:lineRule="auto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kern w:val="0"/>
                <w:sz w:val="21"/>
                <w:szCs w:val="21"/>
                <w14:ligatures w14:val="standardContextual"/>
              </w:rPr>
              <w:t>0.015</w:t>
            </w:r>
          </w:p>
        </w:tc>
      </w:tr>
    </w:tbl>
    <w:p>
      <w:pPr>
        <w:widowControl/>
        <w:spacing w:line="259" w:lineRule="auto"/>
        <w:jc w:val="left"/>
        <w:rPr>
          <w:rFonts w:hint="eastAsia" w:ascii="Times New Roman" w:hAnsi="Times New Roman"/>
          <w:sz w:val="24"/>
          <w14:ligatures w14:val="standardContextual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yFontNa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0"/>
    <w:rsid w:val="000D305E"/>
    <w:rsid w:val="00277A04"/>
    <w:rsid w:val="002A51E0"/>
    <w:rsid w:val="00500F6D"/>
    <w:rsid w:val="00673A34"/>
    <w:rsid w:val="006E020A"/>
    <w:rsid w:val="00C81A2F"/>
    <w:rsid w:val="00D2264A"/>
    <w:rsid w:val="00E22918"/>
    <w:rsid w:val="00EE7550"/>
    <w:rsid w:val="00EF4E83"/>
    <w:rsid w:val="237FC385"/>
    <w:rsid w:val="3EAFC3EE"/>
    <w:rsid w:val="5FF73547"/>
    <w:rsid w:val="72FFA9C9"/>
    <w:rsid w:val="7EFF09FD"/>
    <w:rsid w:val="BDF13E3C"/>
    <w:rsid w:val="D73D72A3"/>
    <w:rsid w:val="D98F7CCB"/>
    <w:rsid w:val="DEFDF056"/>
    <w:rsid w:val="F6DED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3</Pages>
  <Words>261</Words>
  <Characters>1490</Characters>
  <Lines>12</Lines>
  <Paragraphs>3</Paragraphs>
  <TotalTime>0</TotalTime>
  <ScaleCrop>false</ScaleCrop>
  <LinksUpToDate>false</LinksUpToDate>
  <CharactersWithSpaces>1748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2026-03-07T07:14:00Z</dcterms:created>
  <dc:creator>汤莹琦</dc:creator>
  <cp:lastModifiedBy>zhu.fengxia</cp:lastModifiedBy>
  <dcterms:modified xsi:type="dcterms:W3CDTF">2026-03-06T18:11:51Z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70D9A04F749D504F67A8AA698EB21BC7</vt:lpwstr>
  </property>
</Properties>
</file>