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23" w:rsidRPr="008D2E63" w:rsidRDefault="00F23123" w:rsidP="00F23123">
      <w:pPr>
        <w:keepNext/>
        <w:keepLines/>
        <w:jc w:val="center"/>
        <w:outlineLvl w:val="0"/>
        <w:rPr>
          <w:rFonts w:ascii="Times New Roman" w:eastAsia="方正大标宋简体" w:hAnsi="Times New Roman" w:cs="Times New Roman"/>
          <w:sz w:val="42"/>
          <w:szCs w:val="42"/>
        </w:rPr>
      </w:pPr>
      <w:bookmarkStart w:id="0" w:name="_Toc370311337"/>
      <w:bookmarkStart w:id="1" w:name="_Toc366156856"/>
      <w:bookmarkStart w:id="2" w:name="_Toc380322201"/>
      <w:r w:rsidRPr="008D2E63">
        <w:rPr>
          <w:rFonts w:ascii="Times New Roman" w:eastAsia="方正大标宋简体" w:hAnsi="Times New Roman" w:cs="Times New Roman"/>
          <w:sz w:val="42"/>
          <w:szCs w:val="42"/>
        </w:rPr>
        <w:t>上海国际能源交易中心期货</w:t>
      </w:r>
      <w:bookmarkStart w:id="3" w:name="_Toc370311338"/>
      <w:bookmarkEnd w:id="0"/>
      <w:r w:rsidRPr="008D2E63">
        <w:rPr>
          <w:rFonts w:ascii="Times New Roman" w:eastAsia="方正大标宋简体" w:hAnsi="Times New Roman" w:cs="Times New Roman"/>
          <w:sz w:val="42"/>
          <w:szCs w:val="42"/>
        </w:rPr>
        <w:t>交易者适当性</w:t>
      </w:r>
    </w:p>
    <w:p w:rsidR="00F23123" w:rsidRPr="008D2E63" w:rsidRDefault="00F23123" w:rsidP="00F23123">
      <w:pPr>
        <w:keepNext/>
        <w:keepLines/>
        <w:jc w:val="center"/>
        <w:outlineLvl w:val="0"/>
        <w:rPr>
          <w:rFonts w:ascii="Times New Roman" w:eastAsia="方正大标宋简体" w:hAnsi="Times New Roman" w:cs="Times New Roman"/>
          <w:sz w:val="42"/>
          <w:szCs w:val="42"/>
        </w:rPr>
      </w:pPr>
      <w:r w:rsidRPr="008D2E63">
        <w:rPr>
          <w:rFonts w:ascii="Times New Roman" w:eastAsia="方正大标宋简体" w:hAnsi="Times New Roman" w:cs="Times New Roman"/>
          <w:sz w:val="42"/>
          <w:szCs w:val="42"/>
        </w:rPr>
        <w:t>管理细则</w:t>
      </w:r>
      <w:bookmarkEnd w:id="1"/>
      <w:bookmarkEnd w:id="2"/>
      <w:bookmarkEnd w:id="3"/>
      <w:r w:rsidRPr="008D2E63">
        <w:rPr>
          <w:rFonts w:ascii="Times New Roman" w:eastAsia="方正大标宋简体" w:hAnsi="Times New Roman" w:cs="Times New Roman"/>
          <w:sz w:val="42"/>
          <w:szCs w:val="42"/>
        </w:rPr>
        <w:t>（征求意见稿）</w:t>
      </w:r>
    </w:p>
    <w:p w:rsidR="00F23123" w:rsidRPr="008D2E63" w:rsidRDefault="00F23123" w:rsidP="00F23123">
      <w:pPr>
        <w:rPr>
          <w:rFonts w:ascii="Times New Roman" w:eastAsia="宋体" w:hAnsi="Times New Roman" w:cs="Times New Roman"/>
          <w:szCs w:val="24"/>
          <w:lang w:val="zh-CN"/>
        </w:rPr>
      </w:pPr>
      <w:bookmarkStart w:id="4" w:name="_GoBack"/>
      <w:bookmarkEnd w:id="4"/>
    </w:p>
    <w:p w:rsidR="00F23123" w:rsidRPr="008D2E63" w:rsidRDefault="00F23123" w:rsidP="00F23123">
      <w:pPr>
        <w:rPr>
          <w:rFonts w:ascii="Times New Roman" w:eastAsia="宋体" w:hAnsi="Times New Roman" w:cs="Times New Roman"/>
          <w:szCs w:val="24"/>
          <w:lang w:val="zh-CN"/>
        </w:rPr>
      </w:pPr>
    </w:p>
    <w:p w:rsidR="00F23123" w:rsidRPr="008D2E63" w:rsidRDefault="00F23123" w:rsidP="00F23123">
      <w:pPr>
        <w:rPr>
          <w:rFonts w:ascii="Times New Roman" w:eastAsia="宋体" w:hAnsi="Times New Roman" w:cs="Times New Roman"/>
          <w:szCs w:val="24"/>
          <w:lang w:val="zh-CN"/>
        </w:rPr>
      </w:pPr>
    </w:p>
    <w:p w:rsidR="00F23123" w:rsidRPr="008D2E63" w:rsidRDefault="00F23123" w:rsidP="00F23123">
      <w:pPr>
        <w:jc w:val="center"/>
        <w:rPr>
          <w:rFonts w:ascii="Times New Roman" w:eastAsia="黑体" w:hAnsi="Times New Roman" w:cs="Times New Roman"/>
          <w:sz w:val="30"/>
          <w:szCs w:val="30"/>
        </w:rPr>
      </w:pPr>
      <w:r w:rsidRPr="008D2E63">
        <w:rPr>
          <w:rFonts w:ascii="Times New Roman" w:eastAsia="黑体" w:hAnsi="Times New Roman" w:cs="Times New Roman"/>
          <w:sz w:val="30"/>
          <w:szCs w:val="30"/>
        </w:rPr>
        <w:t>目</w:t>
      </w:r>
      <w:r w:rsidRPr="008D2E63">
        <w:rPr>
          <w:rFonts w:ascii="Times New Roman" w:eastAsia="黑体" w:hAnsi="Times New Roman" w:cs="Times New Roman"/>
          <w:sz w:val="30"/>
          <w:szCs w:val="30"/>
        </w:rPr>
        <w:t xml:space="preserve">  </w:t>
      </w:r>
      <w:r w:rsidRPr="008D2E63">
        <w:rPr>
          <w:rFonts w:ascii="Times New Roman" w:eastAsia="黑体" w:hAnsi="Times New Roman" w:cs="Times New Roman"/>
          <w:sz w:val="30"/>
          <w:szCs w:val="30"/>
        </w:rPr>
        <w:t>录</w:t>
      </w:r>
    </w:p>
    <w:p w:rsidR="00F23123" w:rsidRPr="008D2E63" w:rsidRDefault="00F23123" w:rsidP="00F23123">
      <w:pPr>
        <w:pStyle w:val="10"/>
        <w:tabs>
          <w:tab w:val="right" w:leader="dot" w:pos="8296"/>
        </w:tabs>
        <w:rPr>
          <w:rFonts w:ascii="Times New Roman" w:eastAsia="华文仿宋" w:hAnsi="Times New Roman"/>
          <w:noProof/>
          <w:szCs w:val="28"/>
        </w:rPr>
      </w:pPr>
      <w:r w:rsidRPr="008D2E63">
        <w:rPr>
          <w:rFonts w:ascii="Times New Roman" w:eastAsia="华文仿宋" w:hAnsi="Times New Roman"/>
        </w:rPr>
        <w:fldChar w:fldCharType="begin"/>
      </w:r>
      <w:r w:rsidRPr="008D2E63">
        <w:rPr>
          <w:rFonts w:ascii="Times New Roman" w:eastAsia="华文仿宋" w:hAnsi="Times New Roman"/>
        </w:rPr>
        <w:instrText xml:space="preserve"> TOC \o "1-3" \h \z \u </w:instrText>
      </w:r>
      <w:r w:rsidRPr="008D2E63">
        <w:rPr>
          <w:rFonts w:ascii="Times New Roman" w:eastAsia="华文仿宋" w:hAnsi="Times New Roman"/>
        </w:rPr>
        <w:fldChar w:fldCharType="separate"/>
      </w:r>
    </w:p>
    <w:p w:rsidR="00F23123" w:rsidRPr="008D2E63" w:rsidRDefault="005C3885" w:rsidP="00F23123">
      <w:pPr>
        <w:pStyle w:val="10"/>
        <w:tabs>
          <w:tab w:val="right" w:leader="dot" w:pos="8296"/>
        </w:tabs>
        <w:rPr>
          <w:rFonts w:ascii="Times New Roman" w:eastAsia="华文仿宋" w:hAnsi="Times New Roman"/>
          <w:noProof/>
          <w:szCs w:val="28"/>
        </w:rPr>
      </w:pPr>
      <w:hyperlink w:anchor="_Toc380322202" w:history="1">
        <w:r w:rsidR="00F23123" w:rsidRPr="008D2E63">
          <w:rPr>
            <w:rStyle w:val="a3"/>
            <w:rFonts w:ascii="Times New Roman" w:eastAsia="华文仿宋" w:hAnsi="Times New Roman"/>
            <w:noProof/>
            <w:szCs w:val="28"/>
          </w:rPr>
          <w:t>第一章　总则</w:t>
        </w:r>
        <w:r w:rsidR="00F23123" w:rsidRPr="008D2E63">
          <w:rPr>
            <w:rFonts w:ascii="Times New Roman" w:eastAsia="华文仿宋" w:hAnsi="Times New Roman"/>
            <w:noProof/>
            <w:webHidden/>
            <w:szCs w:val="28"/>
          </w:rPr>
          <w:tab/>
        </w:r>
        <w:r w:rsidR="00F23123" w:rsidRPr="008D2E63">
          <w:rPr>
            <w:rFonts w:ascii="Times New Roman" w:eastAsia="华文仿宋" w:hAnsi="Times New Roman"/>
            <w:noProof/>
            <w:webHidden/>
            <w:szCs w:val="28"/>
          </w:rPr>
          <w:fldChar w:fldCharType="begin"/>
        </w:r>
        <w:r w:rsidR="00F23123" w:rsidRPr="008D2E63">
          <w:rPr>
            <w:rFonts w:ascii="Times New Roman" w:eastAsia="华文仿宋" w:hAnsi="Times New Roman"/>
            <w:noProof/>
            <w:webHidden/>
            <w:szCs w:val="28"/>
          </w:rPr>
          <w:instrText xml:space="preserve"> PAGEREF _Toc380322202 \h </w:instrText>
        </w:r>
        <w:r w:rsidR="00F23123" w:rsidRPr="008D2E63">
          <w:rPr>
            <w:rFonts w:ascii="Times New Roman" w:eastAsia="华文仿宋" w:hAnsi="Times New Roman"/>
            <w:noProof/>
            <w:webHidden/>
            <w:szCs w:val="28"/>
          </w:rPr>
        </w:r>
        <w:r w:rsidR="00F23123" w:rsidRPr="008D2E63">
          <w:rPr>
            <w:rFonts w:ascii="Times New Roman" w:eastAsia="华文仿宋" w:hAnsi="Times New Roman"/>
            <w:noProof/>
            <w:webHidden/>
            <w:szCs w:val="28"/>
          </w:rPr>
          <w:fldChar w:fldCharType="separate"/>
        </w:r>
        <w:r w:rsidR="00F23123">
          <w:rPr>
            <w:rFonts w:ascii="Times New Roman" w:eastAsia="华文仿宋" w:hAnsi="Times New Roman"/>
            <w:noProof/>
            <w:webHidden/>
            <w:szCs w:val="28"/>
          </w:rPr>
          <w:t>4</w:t>
        </w:r>
        <w:r w:rsidR="00F23123" w:rsidRPr="008D2E63">
          <w:rPr>
            <w:rFonts w:ascii="Times New Roman" w:eastAsia="华文仿宋" w:hAnsi="Times New Roman"/>
            <w:noProof/>
            <w:webHidden/>
            <w:szCs w:val="28"/>
          </w:rPr>
          <w:fldChar w:fldCharType="end"/>
        </w:r>
      </w:hyperlink>
    </w:p>
    <w:p w:rsidR="00F23123" w:rsidRPr="008D2E63" w:rsidRDefault="005C3885" w:rsidP="00F23123">
      <w:pPr>
        <w:pStyle w:val="10"/>
        <w:tabs>
          <w:tab w:val="right" w:leader="dot" w:pos="8296"/>
        </w:tabs>
        <w:rPr>
          <w:rFonts w:ascii="Times New Roman" w:eastAsia="华文仿宋" w:hAnsi="Times New Roman"/>
          <w:noProof/>
          <w:szCs w:val="28"/>
        </w:rPr>
      </w:pPr>
      <w:hyperlink w:anchor="_Toc380322203" w:history="1">
        <w:r w:rsidR="00F23123" w:rsidRPr="008D2E63">
          <w:rPr>
            <w:rStyle w:val="a3"/>
            <w:rFonts w:ascii="Times New Roman" w:eastAsia="华文仿宋" w:hAnsi="Times New Roman"/>
            <w:noProof/>
            <w:szCs w:val="28"/>
          </w:rPr>
          <w:t>第二章　适当性管理的标准</w:t>
        </w:r>
        <w:r w:rsidR="00F23123" w:rsidRPr="008D2E63">
          <w:rPr>
            <w:rFonts w:ascii="Times New Roman" w:eastAsia="华文仿宋" w:hAnsi="Times New Roman"/>
            <w:noProof/>
            <w:webHidden/>
            <w:szCs w:val="28"/>
          </w:rPr>
          <w:tab/>
        </w:r>
        <w:r w:rsidR="00F23123" w:rsidRPr="008D2E63">
          <w:rPr>
            <w:rFonts w:ascii="Times New Roman" w:eastAsia="华文仿宋" w:hAnsi="Times New Roman"/>
            <w:noProof/>
            <w:webHidden/>
            <w:szCs w:val="28"/>
          </w:rPr>
          <w:fldChar w:fldCharType="begin"/>
        </w:r>
        <w:r w:rsidR="00F23123" w:rsidRPr="008D2E63">
          <w:rPr>
            <w:rFonts w:ascii="Times New Roman" w:eastAsia="华文仿宋" w:hAnsi="Times New Roman"/>
            <w:noProof/>
            <w:webHidden/>
            <w:szCs w:val="28"/>
          </w:rPr>
          <w:instrText xml:space="preserve"> PAGEREF _Toc380322203 \h </w:instrText>
        </w:r>
        <w:r w:rsidR="00F23123" w:rsidRPr="008D2E63">
          <w:rPr>
            <w:rFonts w:ascii="Times New Roman" w:eastAsia="华文仿宋" w:hAnsi="Times New Roman"/>
            <w:noProof/>
            <w:webHidden/>
            <w:szCs w:val="28"/>
          </w:rPr>
        </w:r>
        <w:r w:rsidR="00F23123" w:rsidRPr="008D2E63">
          <w:rPr>
            <w:rFonts w:ascii="Times New Roman" w:eastAsia="华文仿宋" w:hAnsi="Times New Roman"/>
            <w:noProof/>
            <w:webHidden/>
            <w:szCs w:val="28"/>
          </w:rPr>
          <w:fldChar w:fldCharType="separate"/>
        </w:r>
        <w:r w:rsidR="00F23123">
          <w:rPr>
            <w:rFonts w:ascii="Times New Roman" w:eastAsia="华文仿宋" w:hAnsi="Times New Roman"/>
            <w:noProof/>
            <w:webHidden/>
            <w:szCs w:val="28"/>
          </w:rPr>
          <w:t>4</w:t>
        </w:r>
        <w:r w:rsidR="00F23123" w:rsidRPr="008D2E63">
          <w:rPr>
            <w:rFonts w:ascii="Times New Roman" w:eastAsia="华文仿宋" w:hAnsi="Times New Roman"/>
            <w:noProof/>
            <w:webHidden/>
            <w:szCs w:val="28"/>
          </w:rPr>
          <w:fldChar w:fldCharType="end"/>
        </w:r>
      </w:hyperlink>
    </w:p>
    <w:p w:rsidR="00F23123" w:rsidRPr="008D2E63" w:rsidRDefault="005C3885" w:rsidP="00F23123">
      <w:pPr>
        <w:pStyle w:val="10"/>
        <w:tabs>
          <w:tab w:val="right" w:leader="dot" w:pos="8296"/>
        </w:tabs>
        <w:rPr>
          <w:rFonts w:ascii="Times New Roman" w:eastAsia="华文仿宋" w:hAnsi="Times New Roman"/>
          <w:noProof/>
          <w:szCs w:val="28"/>
        </w:rPr>
      </w:pPr>
      <w:hyperlink w:anchor="_Toc380322204" w:history="1">
        <w:r w:rsidR="00F23123" w:rsidRPr="008D2E63">
          <w:rPr>
            <w:rStyle w:val="a3"/>
            <w:rFonts w:ascii="Times New Roman" w:eastAsia="华文仿宋" w:hAnsi="Times New Roman"/>
            <w:noProof/>
            <w:szCs w:val="28"/>
          </w:rPr>
          <w:t>第三章　适当性管理的实施</w:t>
        </w:r>
        <w:r w:rsidR="00F23123" w:rsidRPr="008D2E63">
          <w:rPr>
            <w:rFonts w:ascii="Times New Roman" w:eastAsia="华文仿宋" w:hAnsi="Times New Roman"/>
            <w:noProof/>
            <w:webHidden/>
            <w:szCs w:val="28"/>
          </w:rPr>
          <w:tab/>
        </w:r>
        <w:r w:rsidR="00F23123" w:rsidRPr="008D2E63">
          <w:rPr>
            <w:rFonts w:ascii="Times New Roman" w:eastAsia="华文仿宋" w:hAnsi="Times New Roman"/>
            <w:noProof/>
            <w:webHidden/>
            <w:szCs w:val="28"/>
          </w:rPr>
          <w:fldChar w:fldCharType="begin"/>
        </w:r>
        <w:r w:rsidR="00F23123" w:rsidRPr="008D2E63">
          <w:rPr>
            <w:rFonts w:ascii="Times New Roman" w:eastAsia="华文仿宋" w:hAnsi="Times New Roman"/>
            <w:noProof/>
            <w:webHidden/>
            <w:szCs w:val="28"/>
          </w:rPr>
          <w:instrText xml:space="preserve"> PAGEREF _Toc380322204 \h </w:instrText>
        </w:r>
        <w:r w:rsidR="00F23123" w:rsidRPr="008D2E63">
          <w:rPr>
            <w:rFonts w:ascii="Times New Roman" w:eastAsia="华文仿宋" w:hAnsi="Times New Roman"/>
            <w:noProof/>
            <w:webHidden/>
            <w:szCs w:val="28"/>
          </w:rPr>
        </w:r>
        <w:r w:rsidR="00F23123" w:rsidRPr="008D2E63">
          <w:rPr>
            <w:rFonts w:ascii="Times New Roman" w:eastAsia="华文仿宋" w:hAnsi="Times New Roman"/>
            <w:noProof/>
            <w:webHidden/>
            <w:szCs w:val="28"/>
          </w:rPr>
          <w:fldChar w:fldCharType="separate"/>
        </w:r>
        <w:r w:rsidR="00F23123">
          <w:rPr>
            <w:rFonts w:ascii="Times New Roman" w:eastAsia="华文仿宋" w:hAnsi="Times New Roman"/>
            <w:noProof/>
            <w:webHidden/>
            <w:szCs w:val="28"/>
          </w:rPr>
          <w:t>6</w:t>
        </w:r>
        <w:r w:rsidR="00F23123" w:rsidRPr="008D2E63">
          <w:rPr>
            <w:rFonts w:ascii="Times New Roman" w:eastAsia="华文仿宋" w:hAnsi="Times New Roman"/>
            <w:noProof/>
            <w:webHidden/>
            <w:szCs w:val="28"/>
          </w:rPr>
          <w:fldChar w:fldCharType="end"/>
        </w:r>
      </w:hyperlink>
    </w:p>
    <w:p w:rsidR="00F23123" w:rsidRPr="008D2E63" w:rsidRDefault="005C3885" w:rsidP="00F23123">
      <w:pPr>
        <w:pStyle w:val="10"/>
        <w:tabs>
          <w:tab w:val="right" w:leader="dot" w:pos="8296"/>
        </w:tabs>
        <w:rPr>
          <w:rFonts w:ascii="Times New Roman" w:eastAsia="华文仿宋" w:hAnsi="Times New Roman"/>
          <w:noProof/>
          <w:szCs w:val="28"/>
        </w:rPr>
      </w:pPr>
      <w:hyperlink w:anchor="_Toc380322205" w:history="1">
        <w:r w:rsidR="00F23123" w:rsidRPr="008D2E63">
          <w:rPr>
            <w:rStyle w:val="a3"/>
            <w:rFonts w:ascii="Times New Roman" w:eastAsia="华文仿宋" w:hAnsi="Times New Roman"/>
            <w:noProof/>
            <w:szCs w:val="28"/>
          </w:rPr>
          <w:t>第四章　适当性管理的监督</w:t>
        </w:r>
        <w:r w:rsidR="00F23123" w:rsidRPr="008D2E63">
          <w:rPr>
            <w:rFonts w:ascii="Times New Roman" w:eastAsia="华文仿宋" w:hAnsi="Times New Roman"/>
            <w:noProof/>
            <w:webHidden/>
            <w:szCs w:val="28"/>
          </w:rPr>
          <w:tab/>
        </w:r>
        <w:r w:rsidR="00F23123" w:rsidRPr="008D2E63">
          <w:rPr>
            <w:rFonts w:ascii="Times New Roman" w:eastAsia="华文仿宋" w:hAnsi="Times New Roman"/>
            <w:noProof/>
            <w:webHidden/>
            <w:szCs w:val="28"/>
          </w:rPr>
          <w:fldChar w:fldCharType="begin"/>
        </w:r>
        <w:r w:rsidR="00F23123" w:rsidRPr="008D2E63">
          <w:rPr>
            <w:rFonts w:ascii="Times New Roman" w:eastAsia="华文仿宋" w:hAnsi="Times New Roman"/>
            <w:noProof/>
            <w:webHidden/>
            <w:szCs w:val="28"/>
          </w:rPr>
          <w:instrText xml:space="preserve"> PAGEREF _Toc380322205 \h </w:instrText>
        </w:r>
        <w:r w:rsidR="00F23123" w:rsidRPr="008D2E63">
          <w:rPr>
            <w:rFonts w:ascii="Times New Roman" w:eastAsia="华文仿宋" w:hAnsi="Times New Roman"/>
            <w:noProof/>
            <w:webHidden/>
            <w:szCs w:val="28"/>
          </w:rPr>
        </w:r>
        <w:r w:rsidR="00F23123" w:rsidRPr="008D2E63">
          <w:rPr>
            <w:rFonts w:ascii="Times New Roman" w:eastAsia="华文仿宋" w:hAnsi="Times New Roman"/>
            <w:noProof/>
            <w:webHidden/>
            <w:szCs w:val="28"/>
          </w:rPr>
          <w:fldChar w:fldCharType="separate"/>
        </w:r>
        <w:r w:rsidR="00F23123">
          <w:rPr>
            <w:rFonts w:ascii="Times New Roman" w:eastAsia="华文仿宋" w:hAnsi="Times New Roman"/>
            <w:noProof/>
            <w:webHidden/>
            <w:szCs w:val="28"/>
          </w:rPr>
          <w:t>8</w:t>
        </w:r>
        <w:r w:rsidR="00F23123" w:rsidRPr="008D2E63">
          <w:rPr>
            <w:rFonts w:ascii="Times New Roman" w:eastAsia="华文仿宋" w:hAnsi="Times New Roman"/>
            <w:noProof/>
            <w:webHidden/>
            <w:szCs w:val="28"/>
          </w:rPr>
          <w:fldChar w:fldCharType="end"/>
        </w:r>
      </w:hyperlink>
    </w:p>
    <w:p w:rsidR="00F23123" w:rsidRPr="008D2E63" w:rsidRDefault="005C3885" w:rsidP="00F23123">
      <w:pPr>
        <w:pStyle w:val="10"/>
        <w:tabs>
          <w:tab w:val="right" w:leader="dot" w:pos="8296"/>
        </w:tabs>
        <w:rPr>
          <w:rFonts w:ascii="Times New Roman" w:eastAsia="华文仿宋" w:hAnsi="Times New Roman"/>
          <w:noProof/>
        </w:rPr>
      </w:pPr>
      <w:hyperlink w:anchor="_Toc380322206" w:history="1">
        <w:r w:rsidR="00F23123" w:rsidRPr="008D2E63">
          <w:rPr>
            <w:rStyle w:val="a3"/>
            <w:rFonts w:ascii="Times New Roman" w:eastAsia="华文仿宋" w:hAnsi="Times New Roman"/>
            <w:noProof/>
            <w:szCs w:val="28"/>
          </w:rPr>
          <w:t>第五章　附则</w:t>
        </w:r>
        <w:r w:rsidR="00F23123" w:rsidRPr="008D2E63">
          <w:rPr>
            <w:rFonts w:ascii="Times New Roman" w:eastAsia="华文仿宋" w:hAnsi="Times New Roman"/>
            <w:noProof/>
            <w:webHidden/>
            <w:szCs w:val="28"/>
          </w:rPr>
          <w:tab/>
        </w:r>
        <w:r w:rsidR="00F23123" w:rsidRPr="008D2E63">
          <w:rPr>
            <w:rFonts w:ascii="Times New Roman" w:eastAsia="华文仿宋" w:hAnsi="Times New Roman"/>
            <w:noProof/>
            <w:webHidden/>
            <w:szCs w:val="28"/>
          </w:rPr>
          <w:fldChar w:fldCharType="begin"/>
        </w:r>
        <w:r w:rsidR="00F23123" w:rsidRPr="008D2E63">
          <w:rPr>
            <w:rFonts w:ascii="Times New Roman" w:eastAsia="华文仿宋" w:hAnsi="Times New Roman"/>
            <w:noProof/>
            <w:webHidden/>
            <w:szCs w:val="28"/>
          </w:rPr>
          <w:instrText xml:space="preserve"> PAGEREF _Toc380322206 \h </w:instrText>
        </w:r>
        <w:r w:rsidR="00F23123" w:rsidRPr="008D2E63">
          <w:rPr>
            <w:rFonts w:ascii="Times New Roman" w:eastAsia="华文仿宋" w:hAnsi="Times New Roman"/>
            <w:noProof/>
            <w:webHidden/>
            <w:szCs w:val="28"/>
          </w:rPr>
        </w:r>
        <w:r w:rsidR="00F23123" w:rsidRPr="008D2E63">
          <w:rPr>
            <w:rFonts w:ascii="Times New Roman" w:eastAsia="华文仿宋" w:hAnsi="Times New Roman"/>
            <w:noProof/>
            <w:webHidden/>
            <w:szCs w:val="28"/>
          </w:rPr>
          <w:fldChar w:fldCharType="separate"/>
        </w:r>
        <w:r w:rsidR="00F23123">
          <w:rPr>
            <w:rFonts w:ascii="Times New Roman" w:eastAsia="华文仿宋" w:hAnsi="Times New Roman"/>
            <w:noProof/>
            <w:webHidden/>
            <w:szCs w:val="28"/>
          </w:rPr>
          <w:t>8</w:t>
        </w:r>
        <w:r w:rsidR="00F23123" w:rsidRPr="008D2E63">
          <w:rPr>
            <w:rFonts w:ascii="Times New Roman" w:eastAsia="华文仿宋" w:hAnsi="Times New Roman"/>
            <w:noProof/>
            <w:webHidden/>
            <w:szCs w:val="28"/>
          </w:rPr>
          <w:fldChar w:fldCharType="end"/>
        </w:r>
      </w:hyperlink>
    </w:p>
    <w:p w:rsidR="00F23123" w:rsidRPr="008D2E63" w:rsidRDefault="00F23123" w:rsidP="00F23123">
      <w:pPr>
        <w:rPr>
          <w:rFonts w:ascii="Times New Roman" w:hAnsi="Times New Roman" w:cs="Times New Roman"/>
        </w:rPr>
      </w:pPr>
      <w:r w:rsidRPr="008D2E63">
        <w:rPr>
          <w:rFonts w:ascii="Times New Roman" w:eastAsia="华文仿宋" w:hAnsi="Times New Roman" w:cs="Times New Roman"/>
        </w:rPr>
        <w:fldChar w:fldCharType="end"/>
      </w:r>
    </w:p>
    <w:p w:rsidR="00F23123" w:rsidRPr="008D2E63" w:rsidRDefault="00F23123" w:rsidP="00F23123">
      <w:pPr>
        <w:rPr>
          <w:rFonts w:ascii="Times New Roman" w:eastAsia="宋体" w:hAnsi="Times New Roman" w:cs="Times New Roman"/>
          <w:szCs w:val="24"/>
        </w:rPr>
      </w:pPr>
      <w:r w:rsidRPr="008D2E63">
        <w:rPr>
          <w:rFonts w:ascii="Times New Roman" w:hAnsi="Times New Roman" w:cs="Times New Roman"/>
        </w:rPr>
        <w:br w:type="page"/>
      </w:r>
    </w:p>
    <w:p w:rsidR="00F23123" w:rsidRPr="008D2E63" w:rsidRDefault="00F23123" w:rsidP="00F23123">
      <w:pPr>
        <w:rPr>
          <w:rFonts w:ascii="Times New Roman" w:eastAsia="宋体" w:hAnsi="Times New Roman" w:cs="Times New Roman"/>
          <w:szCs w:val="24"/>
        </w:rPr>
      </w:pPr>
    </w:p>
    <w:p w:rsidR="00F23123" w:rsidRPr="008D2E63" w:rsidRDefault="00F23123" w:rsidP="00F23123">
      <w:pPr>
        <w:rPr>
          <w:rFonts w:ascii="Times New Roman" w:eastAsia="宋体" w:hAnsi="Times New Roman" w:cs="Times New Roman"/>
          <w:szCs w:val="24"/>
        </w:rPr>
      </w:pPr>
    </w:p>
    <w:p w:rsidR="00F23123" w:rsidRPr="008D2E63" w:rsidRDefault="00F23123" w:rsidP="00F23123">
      <w:pPr>
        <w:pStyle w:val="1"/>
        <w:numPr>
          <w:ilvl w:val="0"/>
          <w:numId w:val="2"/>
        </w:numPr>
        <w:spacing w:before="0" w:after="0" w:line="560" w:lineRule="exact"/>
        <w:jc w:val="center"/>
        <w:rPr>
          <w:rFonts w:ascii="Times New Roman" w:eastAsia="方正黑体简体" w:hAnsi="Times New Roman"/>
          <w:b w:val="0"/>
          <w:sz w:val="30"/>
          <w:szCs w:val="30"/>
          <w:lang w:val="x-none" w:eastAsia="x-none"/>
        </w:rPr>
      </w:pPr>
      <w:bookmarkStart w:id="5" w:name="_Toc380322202"/>
      <w:proofErr w:type="spellStart"/>
      <w:r w:rsidRPr="008D2E63">
        <w:rPr>
          <w:rFonts w:ascii="Times New Roman" w:eastAsia="方正黑体简体" w:hAnsi="Times New Roman"/>
          <w:b w:val="0"/>
          <w:sz w:val="30"/>
          <w:szCs w:val="30"/>
          <w:lang w:val="x-none" w:eastAsia="x-none"/>
        </w:rPr>
        <w:t>总则</w:t>
      </w:r>
      <w:bookmarkEnd w:id="5"/>
      <w:proofErr w:type="spellEnd"/>
    </w:p>
    <w:p w:rsidR="00F23123" w:rsidRPr="008D2E63" w:rsidRDefault="00F23123" w:rsidP="00F23123">
      <w:pPr>
        <w:rPr>
          <w:rFonts w:ascii="Times New Roman" w:eastAsia="宋体" w:hAnsi="Times New Roman" w:cs="Times New Roman"/>
          <w:sz w:val="30"/>
          <w:szCs w:val="30"/>
        </w:rPr>
      </w:pPr>
    </w:p>
    <w:p w:rsidR="00F23123" w:rsidRPr="005C087C" w:rsidRDefault="00F23123" w:rsidP="00F23123">
      <w:pPr>
        <w:widowControl/>
        <w:numPr>
          <w:ilvl w:val="0"/>
          <w:numId w:val="1"/>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为了引导交易者理性参与期货市场，保护交易者合法权益，保障期货市场平稳、规范、健康发展，根据《期货交易管理条例》等法律法规及上海国际能源交易中心（以下简称能源中心）业务规则，制定本细则。</w:t>
      </w:r>
    </w:p>
    <w:p w:rsidR="00F23123" w:rsidRPr="005C087C" w:rsidRDefault="00F23123" w:rsidP="00F23123">
      <w:pPr>
        <w:widowControl/>
        <w:numPr>
          <w:ilvl w:val="0"/>
          <w:numId w:val="1"/>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交易者是指从事期货交易并承担交易结果的自然人、法人和其他组织。</w:t>
      </w:r>
    </w:p>
    <w:p w:rsidR="00F23123" w:rsidRPr="005C087C" w:rsidRDefault="00F23123" w:rsidP="00F23123">
      <w:pPr>
        <w:widowControl/>
        <w:numPr>
          <w:ilvl w:val="0"/>
          <w:numId w:val="1"/>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期货公司会员、境外特殊经纪参与者和境外中介机构</w:t>
      </w:r>
      <w:r w:rsidRPr="005C087C">
        <w:rPr>
          <w:rFonts w:ascii="Times New Roman" w:eastAsia="方正仿宋简体" w:hAnsi="Times New Roman" w:cs="Times New Roman" w:hint="eastAsia"/>
          <w:kern w:val="0"/>
          <w:sz w:val="30"/>
          <w:szCs w:val="30"/>
        </w:rPr>
        <w:t>等机构</w:t>
      </w:r>
      <w:r w:rsidRPr="005C087C">
        <w:rPr>
          <w:rFonts w:ascii="Times New Roman" w:eastAsia="方正仿宋简体" w:hAnsi="Times New Roman" w:cs="Times New Roman"/>
          <w:kern w:val="0"/>
          <w:sz w:val="30"/>
          <w:szCs w:val="30"/>
        </w:rPr>
        <w:t>（以下统称开户机构）参与能源中心期货交易的，应当根据本细则要求，评估交易者对期货的认知水平和风险承受能力，选择适当的交易者审慎参与期货交易。</w:t>
      </w:r>
    </w:p>
    <w:p w:rsidR="00F23123" w:rsidRPr="005C087C" w:rsidRDefault="00F23123" w:rsidP="00F23123">
      <w:pPr>
        <w:widowControl/>
        <w:numPr>
          <w:ilvl w:val="0"/>
          <w:numId w:val="1"/>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交易者应当根据交易者适当性制度的要求，全面评估自身市场及产品认知能力、风险控制与承受能力</w:t>
      </w:r>
      <w:r w:rsidRPr="005C087C">
        <w:rPr>
          <w:rFonts w:ascii="Times New Roman" w:eastAsia="方正仿宋简体" w:hAnsi="Times New Roman" w:cs="Times New Roman" w:hint="eastAsia"/>
          <w:kern w:val="0"/>
          <w:sz w:val="30"/>
          <w:szCs w:val="30"/>
        </w:rPr>
        <w:t>和</w:t>
      </w:r>
      <w:r w:rsidRPr="005C087C">
        <w:rPr>
          <w:rFonts w:ascii="Times New Roman" w:eastAsia="方正仿宋简体" w:hAnsi="Times New Roman" w:cs="Times New Roman"/>
          <w:kern w:val="0"/>
          <w:sz w:val="30"/>
          <w:szCs w:val="30"/>
        </w:rPr>
        <w:t>经济实力，审慎决定是否参与期货交易。</w:t>
      </w:r>
    </w:p>
    <w:p w:rsidR="00F23123" w:rsidRPr="005C087C" w:rsidRDefault="00F23123" w:rsidP="00F23123">
      <w:pPr>
        <w:rPr>
          <w:rFonts w:ascii="Times New Roman" w:eastAsia="宋体" w:hAnsi="Times New Roman" w:cs="Times New Roman"/>
          <w:szCs w:val="24"/>
        </w:rPr>
      </w:pPr>
    </w:p>
    <w:p w:rsidR="00F23123" w:rsidRPr="005C087C" w:rsidRDefault="00F23123" w:rsidP="00F23123">
      <w:pPr>
        <w:rPr>
          <w:rFonts w:ascii="Times New Roman" w:eastAsia="宋体" w:hAnsi="Times New Roman" w:cs="Times New Roman"/>
          <w:szCs w:val="24"/>
        </w:rPr>
      </w:pPr>
    </w:p>
    <w:p w:rsidR="00F23123" w:rsidRPr="005C087C" w:rsidRDefault="00F23123" w:rsidP="00F23123">
      <w:pPr>
        <w:keepNext/>
        <w:keepLines/>
        <w:numPr>
          <w:ilvl w:val="0"/>
          <w:numId w:val="2"/>
        </w:numPr>
        <w:spacing w:line="560" w:lineRule="exact"/>
        <w:jc w:val="center"/>
        <w:outlineLvl w:val="0"/>
        <w:rPr>
          <w:rFonts w:ascii="Times New Roman" w:eastAsia="方正黑体简体" w:hAnsi="Times New Roman" w:cs="Times New Roman"/>
          <w:bCs/>
          <w:kern w:val="44"/>
          <w:sz w:val="30"/>
          <w:szCs w:val="30"/>
          <w:lang w:val="x-none" w:eastAsia="x-none"/>
        </w:rPr>
      </w:pPr>
      <w:bookmarkStart w:id="6" w:name="_Toc380322203"/>
      <w:proofErr w:type="spellStart"/>
      <w:r w:rsidRPr="005C087C">
        <w:rPr>
          <w:rFonts w:ascii="Times New Roman" w:eastAsia="方正黑体简体" w:hAnsi="Times New Roman" w:cs="Times New Roman"/>
          <w:bCs/>
          <w:kern w:val="44"/>
          <w:sz w:val="30"/>
          <w:szCs w:val="30"/>
          <w:lang w:val="x-none" w:eastAsia="x-none"/>
        </w:rPr>
        <w:t>适当性管理的标准</w:t>
      </w:r>
      <w:bookmarkEnd w:id="6"/>
      <w:proofErr w:type="spellEnd"/>
    </w:p>
    <w:p w:rsidR="00F23123" w:rsidRPr="005C087C" w:rsidRDefault="00F23123" w:rsidP="00F23123">
      <w:pPr>
        <w:rPr>
          <w:rFonts w:ascii="Times New Roman" w:eastAsia="宋体" w:hAnsi="Times New Roman" w:cs="Times New Roman"/>
          <w:szCs w:val="24"/>
        </w:rPr>
      </w:pPr>
    </w:p>
    <w:p w:rsidR="00F23123" w:rsidRPr="005C087C" w:rsidRDefault="00F23123" w:rsidP="00F23123">
      <w:pPr>
        <w:widowControl/>
        <w:numPr>
          <w:ilvl w:val="0"/>
          <w:numId w:val="1"/>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开户机构为单位交易者申请开立能源中心交易编码时，单位交易者应当符合以下标准：</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hint="eastAsia"/>
          <w:sz w:val="30"/>
          <w:szCs w:val="30"/>
        </w:rPr>
        <w:t>（一）</w:t>
      </w:r>
      <w:r w:rsidRPr="005C087C">
        <w:rPr>
          <w:rFonts w:ascii="Times New Roman" w:eastAsia="方正仿宋简体" w:hAnsi="Times New Roman" w:cs="Times New Roman"/>
          <w:sz w:val="30"/>
          <w:szCs w:val="30"/>
        </w:rPr>
        <w:t>相关业务人员具备期货基础知识，了解能源中心相关业务规则；</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hint="eastAsia"/>
          <w:sz w:val="30"/>
          <w:szCs w:val="30"/>
        </w:rPr>
        <w:t>（二）</w:t>
      </w:r>
      <w:r w:rsidRPr="005C087C">
        <w:rPr>
          <w:rFonts w:ascii="Times New Roman" w:eastAsia="方正仿宋简体" w:hAnsi="Times New Roman" w:cs="Times New Roman"/>
          <w:sz w:val="30"/>
          <w:szCs w:val="30"/>
        </w:rPr>
        <w:t>具有累计不少于</w:t>
      </w:r>
      <w:r w:rsidRPr="005C087C">
        <w:rPr>
          <w:rFonts w:ascii="Times New Roman" w:eastAsia="方正仿宋简体" w:hAnsi="Times New Roman" w:cs="Times New Roman"/>
          <w:sz w:val="30"/>
          <w:szCs w:val="30"/>
        </w:rPr>
        <w:t>10</w:t>
      </w:r>
      <w:r w:rsidRPr="005C087C">
        <w:rPr>
          <w:rFonts w:ascii="Times New Roman" w:eastAsia="方正仿宋简体" w:hAnsi="Times New Roman" w:cs="Times New Roman"/>
          <w:sz w:val="30"/>
          <w:szCs w:val="30"/>
        </w:rPr>
        <w:t>个交易日的境内期货仿真交易成交记录</w:t>
      </w:r>
      <w:r w:rsidRPr="005C087C">
        <w:rPr>
          <w:rFonts w:ascii="Times New Roman" w:eastAsia="方正仿宋简体" w:hAnsi="Times New Roman" w:cs="Times New Roman" w:hint="eastAsia"/>
          <w:sz w:val="30"/>
          <w:szCs w:val="30"/>
        </w:rPr>
        <w:t>；</w:t>
      </w:r>
      <w:r w:rsidRPr="005C087C">
        <w:rPr>
          <w:rFonts w:ascii="Times New Roman" w:eastAsia="方正仿宋简体" w:hAnsi="Times New Roman" w:cs="Times New Roman"/>
          <w:sz w:val="30"/>
          <w:szCs w:val="30"/>
        </w:rPr>
        <w:t>或者近三年内具有</w:t>
      </w:r>
      <w:r w:rsidRPr="005C087C">
        <w:rPr>
          <w:rFonts w:ascii="Times New Roman" w:eastAsia="方正仿宋简体" w:hAnsi="Times New Roman" w:cs="Times New Roman"/>
          <w:sz w:val="30"/>
          <w:szCs w:val="30"/>
        </w:rPr>
        <w:t>10</w:t>
      </w:r>
      <w:r w:rsidRPr="005C087C">
        <w:rPr>
          <w:rFonts w:ascii="Times New Roman" w:eastAsia="方正仿宋简体" w:hAnsi="Times New Roman" w:cs="Times New Roman"/>
          <w:sz w:val="30"/>
          <w:szCs w:val="30"/>
        </w:rPr>
        <w:t>笔以上的境内期货交易成交记录</w:t>
      </w:r>
      <w:r w:rsidRPr="005C087C">
        <w:rPr>
          <w:rFonts w:ascii="Times New Roman" w:eastAsia="方正仿宋简体" w:hAnsi="Times New Roman" w:cs="Times New Roman" w:hint="eastAsia"/>
          <w:sz w:val="30"/>
          <w:szCs w:val="30"/>
        </w:rPr>
        <w:t>、</w:t>
      </w:r>
      <w:r w:rsidRPr="005C087C">
        <w:rPr>
          <w:rFonts w:ascii="Times New Roman" w:eastAsia="方正仿宋简体" w:hAnsi="Times New Roman" w:cs="Times New Roman" w:hint="eastAsia"/>
          <w:sz w:val="30"/>
          <w:szCs w:val="30"/>
        </w:rPr>
        <w:lastRenderedPageBreak/>
        <w:t>在与</w:t>
      </w:r>
      <w:r w:rsidRPr="005C087C">
        <w:rPr>
          <w:rFonts w:ascii="Times New Roman" w:eastAsia="方正仿宋简体" w:hAnsi="Times New Roman" w:cs="Times New Roman"/>
          <w:sz w:val="30"/>
          <w:szCs w:val="30"/>
        </w:rPr>
        <w:t>中国证券监督管理委员会（以下简称中国证监会）</w:t>
      </w:r>
      <w:r w:rsidRPr="005C087C">
        <w:rPr>
          <w:rFonts w:ascii="Times New Roman" w:eastAsia="方正仿宋简体" w:hAnsi="Times New Roman" w:cs="Times New Roman" w:hint="eastAsia"/>
          <w:sz w:val="30"/>
          <w:szCs w:val="30"/>
        </w:rPr>
        <w:t>签署监管合作谅解备忘录的国家（地区）期货监管机构监管的境外期货交易场所的</w:t>
      </w:r>
      <w:r w:rsidRPr="005C087C">
        <w:rPr>
          <w:rFonts w:ascii="Times New Roman" w:eastAsia="方正仿宋简体" w:hAnsi="Times New Roman" w:cs="Times New Roman"/>
          <w:sz w:val="30"/>
          <w:szCs w:val="30"/>
        </w:rPr>
        <w:t>期货交易成交记录；</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hint="eastAsia"/>
          <w:sz w:val="30"/>
          <w:szCs w:val="30"/>
        </w:rPr>
        <w:t>（三）</w:t>
      </w:r>
      <w:r w:rsidRPr="005C087C">
        <w:rPr>
          <w:rFonts w:ascii="Times New Roman" w:eastAsia="方正仿宋简体" w:hAnsi="Times New Roman" w:cs="Times New Roman"/>
          <w:sz w:val="30"/>
          <w:szCs w:val="30"/>
        </w:rPr>
        <w:t>具有健全的期货交易管理制度，包括期货交易决策制度，期货交易下单、资金划拨、实物交割等业务管理制度，期货交易风险控制制度；</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hint="eastAsia"/>
          <w:sz w:val="30"/>
          <w:szCs w:val="30"/>
        </w:rPr>
        <w:t>（四）</w:t>
      </w:r>
      <w:r w:rsidRPr="005C087C">
        <w:rPr>
          <w:rFonts w:ascii="Times New Roman" w:eastAsia="方正仿宋简体" w:hAnsi="Times New Roman" w:cs="Times New Roman"/>
          <w:sz w:val="30"/>
          <w:szCs w:val="30"/>
        </w:rPr>
        <w:t>具有健全的信息通报制度，包括向开户机构提供和及时更新负责期货交易的部门主管人员及相关业务人员信息的机制；</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hint="eastAsia"/>
          <w:sz w:val="30"/>
          <w:szCs w:val="30"/>
        </w:rPr>
        <w:t>（五）</w:t>
      </w:r>
      <w:r w:rsidRPr="005C087C">
        <w:rPr>
          <w:rFonts w:ascii="Times New Roman" w:eastAsia="方正仿宋简体" w:hAnsi="Times New Roman" w:cs="Times New Roman"/>
          <w:sz w:val="30"/>
          <w:szCs w:val="30"/>
        </w:rPr>
        <w:t>不存在严重不良诚信记录或者被有权监管机关宣布为期货市场禁止进入者的情形；</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hint="eastAsia"/>
          <w:sz w:val="30"/>
          <w:szCs w:val="30"/>
        </w:rPr>
        <w:t>（六）</w:t>
      </w:r>
      <w:r w:rsidRPr="005C087C">
        <w:rPr>
          <w:rFonts w:ascii="Times New Roman" w:eastAsia="方正仿宋简体" w:hAnsi="Times New Roman" w:cs="Times New Roman"/>
          <w:sz w:val="30"/>
          <w:szCs w:val="30"/>
        </w:rPr>
        <w:t>不存在法律、法规、规章和能源中心业务规则禁止或者限制从事期货交易的情形。</w:t>
      </w:r>
    </w:p>
    <w:p w:rsidR="00F23123" w:rsidRPr="005C087C" w:rsidRDefault="00F23123" w:rsidP="00F23123">
      <w:pPr>
        <w:widowControl/>
        <w:numPr>
          <w:ilvl w:val="0"/>
          <w:numId w:val="1"/>
        </w:numPr>
        <w:tabs>
          <w:tab w:val="left" w:pos="0"/>
          <w:tab w:val="left" w:pos="709"/>
        </w:tabs>
        <w:spacing w:line="560" w:lineRule="exact"/>
        <w:ind w:left="0" w:firstLineChars="20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开户机构为个人交易者申请开立能源中心交易编码时，个人交易者应当符合以下标准：</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sz w:val="30"/>
          <w:szCs w:val="30"/>
        </w:rPr>
        <w:t>（一）具备完全民事行为能力；</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sz w:val="30"/>
          <w:szCs w:val="30"/>
        </w:rPr>
        <w:t>（二）具备期货基础知识，了解能源中心相关业务规则；</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sz w:val="30"/>
          <w:szCs w:val="30"/>
        </w:rPr>
        <w:t>（三）具有累计不少于</w:t>
      </w:r>
      <w:r w:rsidRPr="005C087C">
        <w:rPr>
          <w:rFonts w:ascii="Times New Roman" w:eastAsia="方正仿宋简体" w:hAnsi="Times New Roman" w:cs="Times New Roman"/>
          <w:sz w:val="30"/>
          <w:szCs w:val="30"/>
        </w:rPr>
        <w:t>10</w:t>
      </w:r>
      <w:r w:rsidRPr="005C087C">
        <w:rPr>
          <w:rFonts w:ascii="Times New Roman" w:eastAsia="方正仿宋简体" w:hAnsi="Times New Roman" w:cs="Times New Roman"/>
          <w:sz w:val="30"/>
          <w:szCs w:val="30"/>
        </w:rPr>
        <w:t>个交易日的境内期货仿真交易成交记录，</w:t>
      </w:r>
      <w:r w:rsidRPr="005C087C">
        <w:rPr>
          <w:rFonts w:ascii="Times New Roman" w:eastAsia="方正仿宋简体" w:hAnsi="Times New Roman" w:cs="Times New Roman" w:hint="eastAsia"/>
          <w:sz w:val="30"/>
          <w:szCs w:val="30"/>
        </w:rPr>
        <w:t>且</w:t>
      </w:r>
      <w:r w:rsidRPr="005C087C">
        <w:rPr>
          <w:rFonts w:ascii="Times New Roman" w:eastAsia="方正仿宋简体" w:hAnsi="Times New Roman" w:cs="Times New Roman"/>
          <w:sz w:val="30"/>
          <w:szCs w:val="30"/>
        </w:rPr>
        <w:t>开户前一交易日日终保证金账户可用资金余额不低于人民币</w:t>
      </w:r>
      <w:r w:rsidRPr="005C087C">
        <w:rPr>
          <w:rFonts w:ascii="Times New Roman" w:eastAsia="方正仿宋简体" w:hAnsi="Times New Roman" w:cs="Times New Roman"/>
          <w:sz w:val="30"/>
          <w:szCs w:val="30"/>
        </w:rPr>
        <w:t>10</w:t>
      </w:r>
      <w:r w:rsidRPr="005C087C">
        <w:rPr>
          <w:rFonts w:ascii="Times New Roman" w:eastAsia="方正仿宋简体" w:hAnsi="Times New Roman" w:cs="Times New Roman"/>
          <w:sz w:val="30"/>
          <w:szCs w:val="30"/>
        </w:rPr>
        <w:t>万元或</w:t>
      </w:r>
      <w:r w:rsidRPr="005C087C">
        <w:rPr>
          <w:rFonts w:ascii="Times New Roman" w:eastAsia="方正仿宋简体" w:hAnsi="Times New Roman" w:cs="Times New Roman" w:hint="eastAsia"/>
          <w:sz w:val="30"/>
          <w:szCs w:val="30"/>
        </w:rPr>
        <w:t>者</w:t>
      </w:r>
      <w:r w:rsidRPr="005C087C">
        <w:rPr>
          <w:rFonts w:ascii="Times New Roman" w:eastAsia="方正仿宋简体" w:hAnsi="Times New Roman" w:cs="Times New Roman"/>
          <w:sz w:val="30"/>
          <w:szCs w:val="30"/>
        </w:rPr>
        <w:t>等值外币</w:t>
      </w:r>
      <w:r w:rsidRPr="005C087C">
        <w:rPr>
          <w:rFonts w:ascii="Times New Roman" w:eastAsia="方正仿宋简体" w:hAnsi="Times New Roman" w:cs="Times New Roman" w:hint="eastAsia"/>
          <w:sz w:val="30"/>
          <w:szCs w:val="30"/>
        </w:rPr>
        <w:t>；</w:t>
      </w:r>
      <w:r w:rsidRPr="005C087C">
        <w:rPr>
          <w:rFonts w:ascii="Times New Roman" w:eastAsia="方正仿宋简体" w:hAnsi="Times New Roman" w:cs="Times New Roman"/>
          <w:sz w:val="30"/>
          <w:szCs w:val="30"/>
        </w:rPr>
        <w:t>或者已在</w:t>
      </w:r>
      <w:r w:rsidRPr="005C087C">
        <w:rPr>
          <w:rFonts w:ascii="Times New Roman" w:eastAsia="方正仿宋简体" w:hAnsi="Times New Roman" w:cs="Times New Roman" w:hint="eastAsia"/>
          <w:sz w:val="30"/>
          <w:szCs w:val="30"/>
        </w:rPr>
        <w:t>境内期货交易场所、与</w:t>
      </w:r>
      <w:r w:rsidRPr="005C087C">
        <w:rPr>
          <w:rFonts w:ascii="Times New Roman" w:eastAsia="方正仿宋简体" w:hAnsi="Times New Roman" w:cs="Times New Roman"/>
          <w:sz w:val="30"/>
          <w:szCs w:val="30"/>
        </w:rPr>
        <w:t>中国证监会</w:t>
      </w:r>
      <w:r w:rsidRPr="005C087C">
        <w:rPr>
          <w:rFonts w:ascii="Times New Roman" w:eastAsia="方正仿宋简体" w:hAnsi="Times New Roman" w:cs="Times New Roman" w:hint="eastAsia"/>
          <w:sz w:val="30"/>
          <w:szCs w:val="30"/>
        </w:rPr>
        <w:t>签署监管合作谅解备忘录的国家（地区）期货监管机构监管的境外期货交易场所开户的，</w:t>
      </w:r>
      <w:r w:rsidRPr="005C087C">
        <w:rPr>
          <w:rFonts w:ascii="Times New Roman" w:eastAsia="方正仿宋简体" w:hAnsi="Times New Roman" w:cs="Times New Roman"/>
          <w:sz w:val="30"/>
          <w:szCs w:val="30"/>
        </w:rPr>
        <w:t>近三年内具有</w:t>
      </w:r>
      <w:r w:rsidRPr="005C087C">
        <w:rPr>
          <w:rFonts w:ascii="Times New Roman" w:eastAsia="方正仿宋简体" w:hAnsi="Times New Roman" w:cs="Times New Roman"/>
          <w:sz w:val="30"/>
          <w:szCs w:val="30"/>
        </w:rPr>
        <w:t>10</w:t>
      </w:r>
      <w:r w:rsidRPr="005C087C">
        <w:rPr>
          <w:rFonts w:ascii="Times New Roman" w:eastAsia="方正仿宋简体" w:hAnsi="Times New Roman" w:cs="Times New Roman"/>
          <w:sz w:val="30"/>
          <w:szCs w:val="30"/>
        </w:rPr>
        <w:t>笔以上的境内或</w:t>
      </w:r>
      <w:r w:rsidRPr="005C087C">
        <w:rPr>
          <w:rFonts w:ascii="Times New Roman" w:eastAsia="方正仿宋简体" w:hAnsi="Times New Roman" w:cs="Times New Roman" w:hint="eastAsia"/>
          <w:sz w:val="30"/>
          <w:szCs w:val="30"/>
        </w:rPr>
        <w:t>者</w:t>
      </w:r>
      <w:r w:rsidRPr="005C087C">
        <w:rPr>
          <w:rFonts w:ascii="Times New Roman" w:eastAsia="方正仿宋简体" w:hAnsi="Times New Roman" w:cs="Times New Roman"/>
          <w:sz w:val="30"/>
          <w:szCs w:val="30"/>
        </w:rPr>
        <w:t>境外期货交易成交记录；</w:t>
      </w:r>
      <w:r w:rsidRPr="005C087C">
        <w:rPr>
          <w:rFonts w:ascii="Times New Roman" w:eastAsia="方正仿宋简体" w:hAnsi="Times New Roman" w:cs="Times New Roman"/>
          <w:sz w:val="30"/>
          <w:szCs w:val="30"/>
        </w:rPr>
        <w:t xml:space="preserve"> </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sz w:val="30"/>
          <w:szCs w:val="30"/>
        </w:rPr>
        <w:t>（</w:t>
      </w:r>
      <w:r w:rsidRPr="005C087C">
        <w:rPr>
          <w:rFonts w:ascii="Times New Roman" w:eastAsia="方正仿宋简体" w:hAnsi="Times New Roman" w:cs="Times New Roman" w:hint="eastAsia"/>
          <w:sz w:val="30"/>
          <w:szCs w:val="30"/>
        </w:rPr>
        <w:t>四</w:t>
      </w:r>
      <w:r w:rsidRPr="005C087C">
        <w:rPr>
          <w:rFonts w:ascii="Times New Roman" w:eastAsia="方正仿宋简体" w:hAnsi="Times New Roman" w:cs="Times New Roman"/>
          <w:sz w:val="30"/>
          <w:szCs w:val="30"/>
        </w:rPr>
        <w:t>）不存在严重不良诚信记录或者被有权监管机关宣布为</w:t>
      </w:r>
      <w:r w:rsidRPr="005C087C">
        <w:rPr>
          <w:rFonts w:ascii="Times New Roman" w:eastAsia="方正仿宋简体" w:hAnsi="Times New Roman" w:cs="Times New Roman"/>
          <w:sz w:val="30"/>
          <w:szCs w:val="30"/>
        </w:rPr>
        <w:lastRenderedPageBreak/>
        <w:t>期货市场禁止进入者的情形；</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sz w:val="30"/>
          <w:szCs w:val="30"/>
        </w:rPr>
        <w:t>（</w:t>
      </w:r>
      <w:r w:rsidRPr="005C087C">
        <w:rPr>
          <w:rFonts w:ascii="Times New Roman" w:eastAsia="方正仿宋简体" w:hAnsi="Times New Roman" w:cs="Times New Roman" w:hint="eastAsia"/>
          <w:sz w:val="30"/>
          <w:szCs w:val="30"/>
        </w:rPr>
        <w:t>五</w:t>
      </w:r>
      <w:r w:rsidRPr="005C087C">
        <w:rPr>
          <w:rFonts w:ascii="Times New Roman" w:eastAsia="方正仿宋简体" w:hAnsi="Times New Roman" w:cs="Times New Roman"/>
          <w:sz w:val="30"/>
          <w:szCs w:val="30"/>
        </w:rPr>
        <w:t>）不存在法律、法规、规章和能源中心业务规则禁止或者限制从事期货交易的情形。</w:t>
      </w:r>
    </w:p>
    <w:p w:rsidR="00F23123" w:rsidRPr="005C087C" w:rsidRDefault="00F23123" w:rsidP="00F23123">
      <w:pPr>
        <w:widowControl/>
        <w:numPr>
          <w:ilvl w:val="0"/>
          <w:numId w:val="1"/>
        </w:numPr>
        <w:tabs>
          <w:tab w:val="left" w:pos="0"/>
          <w:tab w:val="left" w:pos="709"/>
        </w:tabs>
        <w:spacing w:line="560" w:lineRule="exact"/>
        <w:ind w:left="0"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kern w:val="0"/>
          <w:sz w:val="30"/>
          <w:szCs w:val="30"/>
        </w:rPr>
        <w:t>能源中心可以根据市场情况调整交易者适当性标准。</w:t>
      </w:r>
    </w:p>
    <w:p w:rsidR="00F23123" w:rsidRPr="005C087C" w:rsidRDefault="00F23123" w:rsidP="00F23123">
      <w:pPr>
        <w:ind w:firstLine="420"/>
        <w:rPr>
          <w:rFonts w:ascii="Times New Roman" w:eastAsia="宋体" w:hAnsi="Times New Roman" w:cs="Times New Roman"/>
          <w:szCs w:val="24"/>
        </w:rPr>
      </w:pPr>
    </w:p>
    <w:p w:rsidR="00F23123" w:rsidRPr="005C087C" w:rsidRDefault="00F23123" w:rsidP="00F23123">
      <w:pPr>
        <w:ind w:firstLine="420"/>
        <w:rPr>
          <w:rFonts w:ascii="Times New Roman" w:eastAsia="宋体" w:hAnsi="Times New Roman" w:cs="Times New Roman"/>
          <w:szCs w:val="24"/>
        </w:rPr>
      </w:pPr>
    </w:p>
    <w:p w:rsidR="00F23123" w:rsidRPr="005C087C" w:rsidRDefault="00F23123" w:rsidP="00F23123">
      <w:pPr>
        <w:keepNext/>
        <w:keepLines/>
        <w:numPr>
          <w:ilvl w:val="0"/>
          <w:numId w:val="2"/>
        </w:numPr>
        <w:spacing w:line="560" w:lineRule="exact"/>
        <w:jc w:val="center"/>
        <w:outlineLvl w:val="0"/>
        <w:rPr>
          <w:rFonts w:ascii="Times New Roman" w:eastAsia="方正黑体简体" w:hAnsi="Times New Roman" w:cs="Times New Roman"/>
          <w:bCs/>
          <w:kern w:val="44"/>
          <w:sz w:val="30"/>
          <w:szCs w:val="30"/>
          <w:lang w:val="x-none" w:eastAsia="x-none"/>
        </w:rPr>
      </w:pPr>
      <w:bookmarkStart w:id="7" w:name="_Toc380322204"/>
      <w:proofErr w:type="spellStart"/>
      <w:r w:rsidRPr="005C087C">
        <w:rPr>
          <w:rFonts w:ascii="Times New Roman" w:eastAsia="方正黑体简体" w:hAnsi="Times New Roman" w:cs="Times New Roman"/>
          <w:bCs/>
          <w:kern w:val="44"/>
          <w:sz w:val="30"/>
          <w:szCs w:val="30"/>
          <w:lang w:val="x-none" w:eastAsia="x-none"/>
        </w:rPr>
        <w:t>适当性管理的实施</w:t>
      </w:r>
      <w:bookmarkEnd w:id="7"/>
      <w:proofErr w:type="spellEnd"/>
    </w:p>
    <w:p w:rsidR="00F23123" w:rsidRPr="005C087C" w:rsidRDefault="00F23123" w:rsidP="00F23123">
      <w:pPr>
        <w:rPr>
          <w:rFonts w:ascii="Times New Roman" w:eastAsia="宋体" w:hAnsi="Times New Roman" w:cs="Times New Roman"/>
          <w:szCs w:val="24"/>
        </w:rPr>
      </w:pP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开户机构应当</w:t>
      </w:r>
      <w:r w:rsidRPr="005C087C">
        <w:rPr>
          <w:rFonts w:ascii="Times New Roman" w:eastAsia="方正仿宋简体" w:hAnsi="Times New Roman" w:cs="Times New Roman" w:hint="eastAsia"/>
          <w:sz w:val="30"/>
          <w:szCs w:val="30"/>
        </w:rPr>
        <w:t>按照能源中心制定的交易者适当性制度操作指引，</w:t>
      </w:r>
      <w:r w:rsidRPr="005C087C">
        <w:rPr>
          <w:rFonts w:ascii="Times New Roman" w:eastAsia="方正仿宋简体" w:hAnsi="Times New Roman" w:cs="Times New Roman"/>
          <w:kern w:val="0"/>
          <w:sz w:val="30"/>
          <w:szCs w:val="30"/>
        </w:rPr>
        <w:t>建立健全交易者适当性管理的具体业务制度和实施方案，完善内部分工和业务流程</w:t>
      </w:r>
      <w:r w:rsidRPr="005C087C">
        <w:rPr>
          <w:rFonts w:ascii="Times New Roman" w:eastAsia="方正仿宋简体" w:hAnsi="Times New Roman" w:cs="Times New Roman" w:hint="eastAsia"/>
          <w:kern w:val="0"/>
          <w:sz w:val="30"/>
          <w:szCs w:val="30"/>
        </w:rPr>
        <w:t>，</w:t>
      </w:r>
      <w:r w:rsidRPr="005C087C">
        <w:rPr>
          <w:rFonts w:ascii="Times New Roman" w:eastAsia="方正仿宋简体" w:hAnsi="Times New Roman" w:cs="Times New Roman" w:hint="eastAsia"/>
          <w:sz w:val="30"/>
          <w:szCs w:val="30"/>
        </w:rPr>
        <w:t>对交易者的基本情况、相关投资经历、财务状况和诚信状况等进行综合评估</w:t>
      </w:r>
      <w:r w:rsidRPr="005C087C">
        <w:rPr>
          <w:rFonts w:ascii="Times New Roman" w:eastAsia="方正仿宋简体" w:hAnsi="Times New Roman" w:cs="Times New Roman"/>
          <w:kern w:val="0"/>
          <w:sz w:val="30"/>
          <w:szCs w:val="30"/>
        </w:rPr>
        <w:t>。</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开户机构应当建立并有效执行客户开发责任追究制度，明确高级管理人员、业务部门负责人、营业部负责人、复核评估人、开户经办人、客户开发人员的责任。</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开户机构应当向交易者充分揭示期货交易风险，告知必要的期货法律法规、能源中心业务规则及有关规定和决定，严格验证交易者资金，审慎评估交易者的诚信状况和风险承受能力，审核交易者开户申请材料。</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开户机构应当对新开户交易者进行辅导，督促交易者遵守期货交易相关法律、法规、规章、能源中心业务规则及有关规定和决定，持续开展交易</w:t>
      </w:r>
      <w:proofErr w:type="gramStart"/>
      <w:r w:rsidRPr="005C087C">
        <w:rPr>
          <w:rFonts w:ascii="Times New Roman" w:eastAsia="方正仿宋简体" w:hAnsi="Times New Roman" w:cs="Times New Roman"/>
          <w:kern w:val="0"/>
          <w:sz w:val="30"/>
          <w:szCs w:val="30"/>
        </w:rPr>
        <w:t>者风险</w:t>
      </w:r>
      <w:proofErr w:type="gramEnd"/>
      <w:r w:rsidRPr="005C087C">
        <w:rPr>
          <w:rFonts w:ascii="Times New Roman" w:eastAsia="方正仿宋简体" w:hAnsi="Times New Roman" w:cs="Times New Roman"/>
          <w:kern w:val="0"/>
          <w:sz w:val="30"/>
          <w:szCs w:val="30"/>
        </w:rPr>
        <w:t>教育，加强交易者交易行为的合法与合</w:t>
      </w:r>
      <w:proofErr w:type="gramStart"/>
      <w:r w:rsidRPr="005C087C">
        <w:rPr>
          <w:rFonts w:ascii="Times New Roman" w:eastAsia="方正仿宋简体" w:hAnsi="Times New Roman" w:cs="Times New Roman"/>
          <w:kern w:val="0"/>
          <w:sz w:val="30"/>
          <w:szCs w:val="30"/>
        </w:rPr>
        <w:t>规</w:t>
      </w:r>
      <w:proofErr w:type="gramEnd"/>
      <w:r w:rsidRPr="005C087C">
        <w:rPr>
          <w:rFonts w:ascii="Times New Roman" w:eastAsia="方正仿宋简体" w:hAnsi="Times New Roman" w:cs="Times New Roman"/>
          <w:kern w:val="0"/>
          <w:sz w:val="30"/>
          <w:szCs w:val="30"/>
        </w:rPr>
        <w:t>性管理。</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开户机构应当建立交易者资料档案，并严格为交易者保密。</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lastRenderedPageBreak/>
        <w:t>开户机构应当为交易者提供合理的投诉渠道，告知投诉的方法和程序，妥善处理纠纷，督促交易者依法维护自身权益。</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交易者应当</w:t>
      </w:r>
      <w:proofErr w:type="gramStart"/>
      <w:r w:rsidRPr="005C087C">
        <w:rPr>
          <w:rFonts w:ascii="Times New Roman" w:eastAsia="方正仿宋简体" w:hAnsi="Times New Roman" w:cs="Times New Roman"/>
          <w:kern w:val="0"/>
          <w:sz w:val="30"/>
          <w:szCs w:val="30"/>
        </w:rPr>
        <w:t>向办理</w:t>
      </w:r>
      <w:proofErr w:type="gramEnd"/>
      <w:r w:rsidRPr="005C087C">
        <w:rPr>
          <w:rFonts w:ascii="Times New Roman" w:eastAsia="方正仿宋简体" w:hAnsi="Times New Roman" w:cs="Times New Roman"/>
          <w:kern w:val="0"/>
          <w:sz w:val="30"/>
          <w:szCs w:val="30"/>
        </w:rPr>
        <w:t>开户手续的开户机构如实提交相关开户材料，不得采取虚假申报等手段规避交易者适当性制度要求。</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交易者应当遵守买卖自负的原则</w:t>
      </w:r>
      <w:r w:rsidRPr="005C087C">
        <w:rPr>
          <w:rFonts w:ascii="Times New Roman" w:eastAsia="方正仿宋简体" w:hAnsi="Times New Roman" w:cs="Times New Roman"/>
          <w:kern w:val="0"/>
          <w:sz w:val="30"/>
          <w:szCs w:val="30"/>
        </w:rPr>
        <w:t xml:space="preserve">, </w:t>
      </w:r>
      <w:r w:rsidRPr="005C087C">
        <w:rPr>
          <w:rFonts w:ascii="Times New Roman" w:eastAsia="方正仿宋简体" w:hAnsi="Times New Roman" w:cs="Times New Roman"/>
          <w:kern w:val="0"/>
          <w:sz w:val="30"/>
          <w:szCs w:val="30"/>
        </w:rPr>
        <w:t>承担期货交易的履约责任，不得以不符合交易者适当性标准为由拒绝承担期货交易履约责任。</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交易者应当遵守以下规定：</w:t>
      </w:r>
    </w:p>
    <w:p w:rsidR="00F23123" w:rsidRPr="005C087C" w:rsidRDefault="00F23123" w:rsidP="00F23123">
      <w:pPr>
        <w:spacing w:line="560" w:lineRule="exact"/>
        <w:ind w:firstLineChars="200" w:firstLine="600"/>
        <w:rPr>
          <w:rFonts w:ascii="Times New Roman" w:eastAsia="方正仿宋简体" w:hAnsi="Times New Roman" w:cs="Times New Roman"/>
          <w:sz w:val="30"/>
          <w:szCs w:val="30"/>
        </w:rPr>
      </w:pPr>
      <w:r w:rsidRPr="005C087C">
        <w:rPr>
          <w:rFonts w:ascii="Times New Roman" w:eastAsia="方正仿宋简体" w:hAnsi="Times New Roman" w:cs="Times New Roman"/>
          <w:sz w:val="30"/>
          <w:szCs w:val="30"/>
        </w:rPr>
        <w:t>（一）交易编码制度，</w:t>
      </w:r>
      <w:proofErr w:type="gramStart"/>
      <w:r w:rsidRPr="005C087C">
        <w:rPr>
          <w:rFonts w:ascii="Times New Roman" w:eastAsia="方正仿宋简体" w:hAnsi="Times New Roman" w:cs="Times New Roman"/>
          <w:sz w:val="30"/>
          <w:szCs w:val="30"/>
        </w:rPr>
        <w:t>禁止混码交易</w:t>
      </w:r>
      <w:proofErr w:type="gramEnd"/>
      <w:r w:rsidRPr="005C087C">
        <w:rPr>
          <w:rFonts w:ascii="Times New Roman" w:eastAsia="方正仿宋简体" w:hAnsi="Times New Roman" w:cs="Times New Roman"/>
          <w:sz w:val="30"/>
          <w:szCs w:val="30"/>
        </w:rPr>
        <w:t>；</w:t>
      </w:r>
    </w:p>
    <w:p w:rsidR="00F23123" w:rsidRPr="005C087C" w:rsidRDefault="00F23123" w:rsidP="00F23123">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sz w:val="30"/>
          <w:szCs w:val="30"/>
        </w:rPr>
        <w:t>（二）按</w:t>
      </w:r>
      <w:r>
        <w:fldChar w:fldCharType="begin"/>
      </w:r>
      <w:r>
        <w:instrText xml:space="preserve"> HYPERLINK "http://www.shfe.com.cn/docview/docview_12145512.htm" \t "_blank" </w:instrText>
      </w:r>
      <w:r>
        <w:fldChar w:fldCharType="separate"/>
      </w:r>
      <w:r w:rsidRPr="005C087C">
        <w:rPr>
          <w:rFonts w:ascii="Times New Roman" w:eastAsia="方正仿宋简体" w:hAnsi="Times New Roman" w:cs="Times New Roman"/>
          <w:sz w:val="30"/>
          <w:szCs w:val="30"/>
        </w:rPr>
        <w:t>规定主动申报实际控制关系账户</w:t>
      </w:r>
      <w:r>
        <w:rPr>
          <w:rFonts w:ascii="Times New Roman" w:eastAsia="方正仿宋简体" w:hAnsi="Times New Roman" w:cs="Times New Roman"/>
          <w:sz w:val="30"/>
          <w:szCs w:val="30"/>
        </w:rPr>
        <w:fldChar w:fldCharType="end"/>
      </w:r>
      <w:r w:rsidRPr="005C087C">
        <w:rPr>
          <w:rFonts w:ascii="Times New Roman" w:eastAsia="方正仿宋简体" w:hAnsi="Times New Roman" w:cs="Times New Roman"/>
          <w:sz w:val="30"/>
          <w:szCs w:val="30"/>
        </w:rPr>
        <w:t>，并接受相应监督管理。</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交易者应当依照法律法规的相关规定，通过正当途径维护自身合法权益</w:t>
      </w:r>
      <w:r w:rsidRPr="005C087C">
        <w:rPr>
          <w:rFonts w:ascii="Times New Roman" w:eastAsia="方正仿宋简体" w:hAnsi="Times New Roman" w:cs="Times New Roman" w:hint="eastAsia"/>
          <w:kern w:val="0"/>
          <w:sz w:val="30"/>
          <w:szCs w:val="30"/>
        </w:rPr>
        <w:t>，</w:t>
      </w:r>
      <w:r w:rsidRPr="005C087C">
        <w:rPr>
          <w:rFonts w:ascii="Times New Roman" w:eastAsia="方正仿宋简体" w:hAnsi="Times New Roman" w:cs="Times New Roman"/>
          <w:kern w:val="0"/>
          <w:sz w:val="30"/>
          <w:szCs w:val="30"/>
        </w:rPr>
        <w:t>不得侵害国家、社会、集体利益和他人合法权益，不得扰乱社会公共秩序、能源中心及相关单位的工作秩序。</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hint="eastAsia"/>
          <w:kern w:val="0"/>
          <w:sz w:val="30"/>
          <w:szCs w:val="30"/>
        </w:rPr>
        <w:t>会员和境外特殊经纪参与者与境外中介机构之间存在委托结算或者委托代理业务协议的，应当建立业务对接规则，落实交易者适当性制度的相关要求。会员或者境外特殊经纪参与者对境外中介机构的相关业务进行复核。</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hint="eastAsia"/>
          <w:kern w:val="0"/>
          <w:sz w:val="30"/>
          <w:szCs w:val="30"/>
        </w:rPr>
        <w:t>会员委托具有中间业务介绍资格的公司协助办理开户手续的，应当与该公司建立业务对接规则，落实交易者适当性制度的相关要求，并对该公司的相关业务进行复核。</w:t>
      </w:r>
    </w:p>
    <w:p w:rsidR="00F23123" w:rsidRPr="005C087C" w:rsidRDefault="00F23123" w:rsidP="00F23123">
      <w:pPr>
        <w:rPr>
          <w:rFonts w:ascii="Times New Roman" w:eastAsia="宋体" w:hAnsi="Times New Roman" w:cs="Times New Roman"/>
          <w:szCs w:val="24"/>
        </w:rPr>
      </w:pPr>
    </w:p>
    <w:p w:rsidR="00F23123" w:rsidRPr="005C087C" w:rsidRDefault="00F23123" w:rsidP="00F23123">
      <w:pPr>
        <w:rPr>
          <w:rFonts w:ascii="Times New Roman" w:eastAsia="宋体" w:hAnsi="Times New Roman" w:cs="Times New Roman"/>
          <w:szCs w:val="24"/>
        </w:rPr>
      </w:pPr>
    </w:p>
    <w:p w:rsidR="00F23123" w:rsidRPr="005C087C" w:rsidRDefault="00F23123" w:rsidP="00F23123">
      <w:pPr>
        <w:keepNext/>
        <w:keepLines/>
        <w:numPr>
          <w:ilvl w:val="0"/>
          <w:numId w:val="2"/>
        </w:numPr>
        <w:spacing w:line="560" w:lineRule="exact"/>
        <w:jc w:val="center"/>
        <w:outlineLvl w:val="0"/>
        <w:rPr>
          <w:rFonts w:ascii="Times New Roman" w:eastAsia="方正黑体简体" w:hAnsi="Times New Roman" w:cs="Times New Roman"/>
          <w:bCs/>
          <w:kern w:val="44"/>
          <w:sz w:val="30"/>
          <w:szCs w:val="30"/>
          <w:lang w:val="x-none" w:eastAsia="x-none"/>
        </w:rPr>
      </w:pPr>
      <w:bookmarkStart w:id="8" w:name="_Toc380322205"/>
      <w:proofErr w:type="spellStart"/>
      <w:r w:rsidRPr="005C087C">
        <w:rPr>
          <w:rFonts w:ascii="Times New Roman" w:eastAsia="方正黑体简体" w:hAnsi="Times New Roman" w:cs="Times New Roman"/>
          <w:bCs/>
          <w:kern w:val="44"/>
          <w:sz w:val="30"/>
          <w:szCs w:val="30"/>
          <w:lang w:val="x-none" w:eastAsia="x-none"/>
        </w:rPr>
        <w:t>适当性管理的监督</w:t>
      </w:r>
      <w:bookmarkEnd w:id="8"/>
      <w:proofErr w:type="spellEnd"/>
    </w:p>
    <w:p w:rsidR="00F23123" w:rsidRPr="005C087C" w:rsidRDefault="00F23123" w:rsidP="00F23123">
      <w:pPr>
        <w:rPr>
          <w:rFonts w:ascii="Times New Roman" w:eastAsia="宋体" w:hAnsi="Times New Roman" w:cs="Times New Roman"/>
          <w:szCs w:val="24"/>
        </w:rPr>
      </w:pP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能源中心对开户机构落实交易者适当性制度实施情况进行检查。开户机构应当配合检查，如实提供交易者开户材料、资金账户情况等资料，不得隐瞒、阻碍和拒绝。</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开户机构违反交易者适当性制度的，能源中心可以对其采取责令改正、警告、通报批评、暂停开仓交易、暂停期货业务、取消资格等处理措施；情节严重的，可以向中国证监会、中国期货业协会和境外开户机构所在国</w:t>
      </w:r>
      <w:r w:rsidRPr="005C087C">
        <w:rPr>
          <w:rFonts w:ascii="Times New Roman" w:eastAsia="方正仿宋简体" w:hAnsi="Times New Roman" w:cs="Times New Roman" w:hint="eastAsia"/>
          <w:kern w:val="0"/>
          <w:sz w:val="30"/>
          <w:szCs w:val="30"/>
        </w:rPr>
        <w:t>（</w:t>
      </w:r>
      <w:r w:rsidRPr="005C087C">
        <w:rPr>
          <w:rFonts w:ascii="Times New Roman" w:eastAsia="方正仿宋简体" w:hAnsi="Times New Roman" w:cs="Times New Roman"/>
          <w:kern w:val="0"/>
          <w:sz w:val="30"/>
          <w:szCs w:val="30"/>
        </w:rPr>
        <w:t>地区</w:t>
      </w:r>
      <w:r w:rsidRPr="005C087C">
        <w:rPr>
          <w:rFonts w:ascii="Times New Roman" w:eastAsia="方正仿宋简体" w:hAnsi="Times New Roman" w:cs="Times New Roman" w:hint="eastAsia"/>
          <w:kern w:val="0"/>
          <w:sz w:val="30"/>
          <w:szCs w:val="30"/>
        </w:rPr>
        <w:t>）</w:t>
      </w:r>
      <w:r w:rsidRPr="005C087C">
        <w:rPr>
          <w:rFonts w:ascii="Times New Roman" w:eastAsia="方正仿宋简体" w:hAnsi="Times New Roman" w:cs="Times New Roman"/>
          <w:kern w:val="0"/>
          <w:sz w:val="30"/>
          <w:szCs w:val="30"/>
        </w:rPr>
        <w:t>的</w:t>
      </w:r>
      <w:r w:rsidRPr="005C087C">
        <w:rPr>
          <w:rFonts w:ascii="Times New Roman" w:eastAsia="方正仿宋简体" w:hAnsi="Times New Roman" w:cs="Times New Roman" w:hint="eastAsia"/>
          <w:kern w:val="0"/>
          <w:sz w:val="30"/>
          <w:szCs w:val="30"/>
        </w:rPr>
        <w:t>期货</w:t>
      </w:r>
      <w:r w:rsidRPr="005C087C">
        <w:rPr>
          <w:rFonts w:ascii="Times New Roman" w:eastAsia="方正仿宋简体" w:hAnsi="Times New Roman" w:cs="Times New Roman"/>
          <w:kern w:val="0"/>
          <w:sz w:val="30"/>
          <w:szCs w:val="30"/>
        </w:rPr>
        <w:t>监管机构</w:t>
      </w:r>
      <w:r w:rsidRPr="005C087C">
        <w:rPr>
          <w:rFonts w:ascii="Times New Roman" w:eastAsia="方正仿宋简体" w:hAnsi="Times New Roman" w:cs="Times New Roman" w:hint="eastAsia"/>
          <w:kern w:val="0"/>
          <w:sz w:val="30"/>
          <w:szCs w:val="30"/>
        </w:rPr>
        <w:t>通报</w:t>
      </w:r>
      <w:r w:rsidRPr="005C087C">
        <w:rPr>
          <w:rFonts w:ascii="Times New Roman" w:eastAsia="方正仿宋简体" w:hAnsi="Times New Roman" w:cs="Times New Roman"/>
          <w:kern w:val="0"/>
          <w:sz w:val="30"/>
          <w:szCs w:val="30"/>
        </w:rPr>
        <w:t>，</w:t>
      </w:r>
      <w:r w:rsidRPr="005C087C">
        <w:rPr>
          <w:rFonts w:ascii="Times New Roman" w:eastAsia="方正仿宋简体" w:hAnsi="Times New Roman" w:cs="Times New Roman" w:hint="eastAsia"/>
          <w:kern w:val="0"/>
          <w:sz w:val="30"/>
          <w:szCs w:val="30"/>
        </w:rPr>
        <w:t>并</w:t>
      </w:r>
      <w:r w:rsidRPr="005C087C">
        <w:rPr>
          <w:rFonts w:ascii="Times New Roman" w:eastAsia="方正仿宋简体" w:hAnsi="Times New Roman" w:cs="Times New Roman"/>
          <w:kern w:val="0"/>
          <w:sz w:val="30"/>
          <w:szCs w:val="30"/>
        </w:rPr>
        <w:t>提出行政处罚或者纪律处分建议。</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开户机构工作人员对违规行为负有责任的，能源中心可以采取警告、通报批评、暂停期货业务和取消资格等处理措施；情节严重的，可以向中国证监会、中国期货业协会和境外开户机构所在国</w:t>
      </w:r>
      <w:r w:rsidRPr="005C087C">
        <w:rPr>
          <w:rFonts w:ascii="Times New Roman" w:eastAsia="方正仿宋简体" w:hAnsi="Times New Roman" w:cs="Times New Roman" w:hint="eastAsia"/>
          <w:kern w:val="0"/>
          <w:sz w:val="30"/>
          <w:szCs w:val="30"/>
        </w:rPr>
        <w:t>（</w:t>
      </w:r>
      <w:r w:rsidRPr="005C087C">
        <w:rPr>
          <w:rFonts w:ascii="Times New Roman" w:eastAsia="方正仿宋简体" w:hAnsi="Times New Roman" w:cs="Times New Roman"/>
          <w:kern w:val="0"/>
          <w:sz w:val="30"/>
          <w:szCs w:val="30"/>
        </w:rPr>
        <w:t>地区</w:t>
      </w:r>
      <w:r w:rsidRPr="005C087C">
        <w:rPr>
          <w:rFonts w:ascii="Times New Roman" w:eastAsia="方正仿宋简体" w:hAnsi="Times New Roman" w:cs="Times New Roman" w:hint="eastAsia"/>
          <w:kern w:val="0"/>
          <w:sz w:val="30"/>
          <w:szCs w:val="30"/>
        </w:rPr>
        <w:t>）</w:t>
      </w:r>
      <w:r w:rsidRPr="005C087C">
        <w:rPr>
          <w:rFonts w:ascii="Times New Roman" w:eastAsia="方正仿宋简体" w:hAnsi="Times New Roman" w:cs="Times New Roman"/>
          <w:kern w:val="0"/>
          <w:sz w:val="30"/>
          <w:szCs w:val="30"/>
        </w:rPr>
        <w:t>的</w:t>
      </w:r>
      <w:r w:rsidRPr="005C087C">
        <w:rPr>
          <w:rFonts w:ascii="Times New Roman" w:eastAsia="方正仿宋简体" w:hAnsi="Times New Roman" w:cs="Times New Roman" w:hint="eastAsia"/>
          <w:kern w:val="0"/>
          <w:sz w:val="30"/>
          <w:szCs w:val="30"/>
        </w:rPr>
        <w:t>期货</w:t>
      </w:r>
      <w:r w:rsidRPr="005C087C">
        <w:rPr>
          <w:rFonts w:ascii="Times New Roman" w:eastAsia="方正仿宋简体" w:hAnsi="Times New Roman" w:cs="Times New Roman"/>
          <w:kern w:val="0"/>
          <w:sz w:val="30"/>
          <w:szCs w:val="30"/>
        </w:rPr>
        <w:t>监管机构提出撤销任职资格、取消从业资格等行政处罚或者纪律处分建议。</w:t>
      </w:r>
    </w:p>
    <w:p w:rsidR="00F23123" w:rsidRPr="005C087C" w:rsidRDefault="00F23123" w:rsidP="00F23123">
      <w:pPr>
        <w:rPr>
          <w:rFonts w:ascii="Times New Roman" w:eastAsia="宋体" w:hAnsi="Times New Roman" w:cs="Times New Roman"/>
          <w:szCs w:val="24"/>
        </w:rPr>
      </w:pPr>
      <w:bookmarkStart w:id="9" w:name="_Toc380322206"/>
    </w:p>
    <w:p w:rsidR="00F23123" w:rsidRPr="005C087C" w:rsidRDefault="00F23123" w:rsidP="00F23123">
      <w:pPr>
        <w:rPr>
          <w:rFonts w:ascii="Times New Roman" w:eastAsia="宋体" w:hAnsi="Times New Roman" w:cs="Times New Roman"/>
          <w:szCs w:val="24"/>
        </w:rPr>
      </w:pPr>
    </w:p>
    <w:p w:rsidR="00F23123" w:rsidRPr="005C087C" w:rsidRDefault="00F23123" w:rsidP="00F23123">
      <w:pPr>
        <w:numPr>
          <w:ilvl w:val="0"/>
          <w:numId w:val="2"/>
        </w:numPr>
        <w:spacing w:line="560" w:lineRule="exact"/>
        <w:jc w:val="center"/>
        <w:rPr>
          <w:rFonts w:ascii="Times New Roman" w:eastAsia="方正黑体简体" w:hAnsi="Times New Roman" w:cs="Times New Roman"/>
          <w:bCs/>
          <w:kern w:val="44"/>
          <w:sz w:val="30"/>
          <w:szCs w:val="30"/>
          <w:lang w:val="x-none" w:eastAsia="x-none"/>
        </w:rPr>
      </w:pPr>
      <w:proofErr w:type="spellStart"/>
      <w:r w:rsidRPr="005C087C">
        <w:rPr>
          <w:rFonts w:ascii="Times New Roman" w:eastAsia="方正黑体简体" w:hAnsi="Times New Roman" w:cs="Times New Roman"/>
          <w:bCs/>
          <w:kern w:val="44"/>
          <w:sz w:val="30"/>
          <w:szCs w:val="30"/>
          <w:lang w:val="x-none" w:eastAsia="x-none"/>
        </w:rPr>
        <w:t>附则</w:t>
      </w:r>
      <w:bookmarkEnd w:id="9"/>
      <w:proofErr w:type="spellEnd"/>
    </w:p>
    <w:p w:rsidR="00F23123" w:rsidRPr="005C087C" w:rsidRDefault="00F23123" w:rsidP="00F23123">
      <w:pPr>
        <w:rPr>
          <w:rFonts w:ascii="Times New Roman" w:eastAsia="宋体" w:hAnsi="Times New Roman" w:cs="Times New Roman"/>
          <w:szCs w:val="24"/>
        </w:rPr>
      </w:pP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kern w:val="0"/>
          <w:sz w:val="30"/>
          <w:szCs w:val="30"/>
        </w:rPr>
      </w:pPr>
      <w:r w:rsidRPr="005C087C">
        <w:rPr>
          <w:rFonts w:ascii="Times New Roman" w:eastAsia="方正仿宋简体" w:hAnsi="Times New Roman" w:cs="Times New Roman"/>
          <w:kern w:val="0"/>
          <w:sz w:val="30"/>
          <w:szCs w:val="30"/>
        </w:rPr>
        <w:t>本细则解释权属于能源中心。</w:t>
      </w:r>
    </w:p>
    <w:p w:rsidR="00F23123" w:rsidRPr="005C087C" w:rsidRDefault="00F23123" w:rsidP="00F23123">
      <w:pPr>
        <w:widowControl/>
        <w:numPr>
          <w:ilvl w:val="0"/>
          <w:numId w:val="1"/>
        </w:numPr>
        <w:tabs>
          <w:tab w:val="left" w:pos="0"/>
          <w:tab w:val="left" w:pos="709"/>
        </w:tabs>
        <w:spacing w:line="560" w:lineRule="exact"/>
        <w:ind w:left="0" w:firstLine="600"/>
        <w:rPr>
          <w:rFonts w:ascii="Times New Roman" w:eastAsia="方正仿宋简体" w:hAnsi="Times New Roman" w:cs="Times New Roman"/>
          <w:sz w:val="30"/>
        </w:rPr>
      </w:pPr>
      <w:r w:rsidRPr="005C087C">
        <w:rPr>
          <w:rFonts w:ascii="Times New Roman" w:eastAsia="方正仿宋简体" w:hAnsi="Times New Roman" w:cs="Times New Roman"/>
          <w:kern w:val="0"/>
          <w:sz w:val="30"/>
          <w:szCs w:val="30"/>
        </w:rPr>
        <w:t>本细则自</w:t>
      </w:r>
      <w:r w:rsidRPr="005C087C">
        <w:rPr>
          <w:rFonts w:ascii="Times New Roman" w:eastAsia="方正仿宋简体" w:hAnsi="Times New Roman" w:cs="Times New Roman" w:hint="eastAsia"/>
          <w:kern w:val="0"/>
          <w:sz w:val="30"/>
          <w:szCs w:val="30"/>
        </w:rPr>
        <w:t xml:space="preserve">    </w:t>
      </w:r>
      <w:r w:rsidRPr="005C087C">
        <w:rPr>
          <w:rFonts w:ascii="Times New Roman" w:eastAsia="方正仿宋简体" w:hAnsi="Times New Roman" w:cs="Times New Roman"/>
          <w:kern w:val="0"/>
          <w:sz w:val="30"/>
          <w:szCs w:val="30"/>
        </w:rPr>
        <w:t>年</w:t>
      </w:r>
      <w:r w:rsidRPr="005C087C">
        <w:rPr>
          <w:rFonts w:ascii="Times New Roman" w:eastAsia="方正仿宋简体" w:hAnsi="Times New Roman" w:cs="Times New Roman" w:hint="eastAsia"/>
          <w:kern w:val="0"/>
          <w:sz w:val="30"/>
          <w:szCs w:val="30"/>
        </w:rPr>
        <w:t xml:space="preserve"> </w:t>
      </w:r>
      <w:r w:rsidRPr="005C087C">
        <w:rPr>
          <w:rFonts w:ascii="Times New Roman" w:eastAsia="方正仿宋简体" w:hAnsi="Times New Roman" w:cs="Times New Roman"/>
          <w:kern w:val="0"/>
          <w:sz w:val="30"/>
          <w:szCs w:val="30"/>
        </w:rPr>
        <w:t>月</w:t>
      </w:r>
      <w:r w:rsidRPr="005C087C">
        <w:rPr>
          <w:rFonts w:ascii="Times New Roman" w:eastAsia="方正仿宋简体" w:hAnsi="Times New Roman" w:cs="Times New Roman" w:hint="eastAsia"/>
          <w:kern w:val="0"/>
          <w:sz w:val="30"/>
          <w:szCs w:val="30"/>
        </w:rPr>
        <w:t xml:space="preserve"> </w:t>
      </w:r>
      <w:r w:rsidRPr="005C087C">
        <w:rPr>
          <w:rFonts w:ascii="Times New Roman" w:eastAsia="方正仿宋简体" w:hAnsi="Times New Roman" w:cs="Times New Roman"/>
          <w:kern w:val="0"/>
          <w:sz w:val="30"/>
          <w:szCs w:val="30"/>
        </w:rPr>
        <w:t>日起实施。</w:t>
      </w:r>
    </w:p>
    <w:p w:rsidR="00AC1ADD" w:rsidRPr="00E8413D" w:rsidRDefault="00AC1ADD" w:rsidP="00E8413D">
      <w:pPr>
        <w:widowControl/>
        <w:jc w:val="left"/>
        <w:rPr>
          <w:rFonts w:ascii="Times New Roman" w:hAnsi="Times New Roman" w:cs="Times New Roman" w:hint="eastAsia"/>
        </w:rPr>
      </w:pPr>
    </w:p>
    <w:sectPr w:rsidR="00AC1ADD" w:rsidRPr="00E841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6029"/>
    <w:multiLevelType w:val="hybridMultilevel"/>
    <w:tmpl w:val="92A2D004"/>
    <w:lvl w:ilvl="0" w:tplc="E634E180">
      <w:start w:val="1"/>
      <w:numFmt w:val="chineseCountingThousand"/>
      <w:lvlText w:val="第%1条"/>
      <w:lvlJc w:val="left"/>
      <w:pPr>
        <w:ind w:left="454" w:hanging="454"/>
      </w:pPr>
      <w:rPr>
        <w:rFonts w:eastAsia="仿宋" w:cs="Times New Roman" w:hint="eastAsia"/>
        <w:b/>
        <w:i w:val="0"/>
        <w:snapToGrid/>
        <w:color w:val="auto"/>
        <w:sz w:val="30"/>
        <w:szCs w:val="30"/>
      </w:rPr>
    </w:lvl>
    <w:lvl w:ilvl="1" w:tplc="04090019" w:tentative="1">
      <w:start w:val="1"/>
      <w:numFmt w:val="lowerLetter"/>
      <w:lvlText w:val="%2)"/>
      <w:lvlJc w:val="left"/>
      <w:pPr>
        <w:ind w:left="200" w:hanging="420"/>
      </w:pPr>
      <w:rPr>
        <w:rFonts w:cs="Times New Roman"/>
      </w:rPr>
    </w:lvl>
    <w:lvl w:ilvl="2" w:tplc="0409001B" w:tentative="1">
      <w:start w:val="1"/>
      <w:numFmt w:val="lowerRoman"/>
      <w:lvlText w:val="%3."/>
      <w:lvlJc w:val="right"/>
      <w:pPr>
        <w:ind w:left="620" w:hanging="420"/>
      </w:pPr>
      <w:rPr>
        <w:rFonts w:cs="Times New Roman"/>
      </w:rPr>
    </w:lvl>
    <w:lvl w:ilvl="3" w:tplc="0409000F" w:tentative="1">
      <w:start w:val="1"/>
      <w:numFmt w:val="decimal"/>
      <w:lvlText w:val="%4."/>
      <w:lvlJc w:val="left"/>
      <w:pPr>
        <w:ind w:left="1040" w:hanging="420"/>
      </w:pPr>
      <w:rPr>
        <w:rFonts w:cs="Times New Roman"/>
      </w:rPr>
    </w:lvl>
    <w:lvl w:ilvl="4" w:tplc="04090019" w:tentative="1">
      <w:start w:val="1"/>
      <w:numFmt w:val="lowerLetter"/>
      <w:lvlText w:val="%5)"/>
      <w:lvlJc w:val="left"/>
      <w:pPr>
        <w:ind w:left="1460" w:hanging="420"/>
      </w:pPr>
      <w:rPr>
        <w:rFonts w:cs="Times New Roman"/>
      </w:rPr>
    </w:lvl>
    <w:lvl w:ilvl="5" w:tplc="0409001B" w:tentative="1">
      <w:start w:val="1"/>
      <w:numFmt w:val="lowerRoman"/>
      <w:lvlText w:val="%6."/>
      <w:lvlJc w:val="right"/>
      <w:pPr>
        <w:ind w:left="1880" w:hanging="420"/>
      </w:pPr>
      <w:rPr>
        <w:rFonts w:cs="Times New Roman"/>
      </w:rPr>
    </w:lvl>
    <w:lvl w:ilvl="6" w:tplc="0409000F" w:tentative="1">
      <w:start w:val="1"/>
      <w:numFmt w:val="decimal"/>
      <w:lvlText w:val="%7."/>
      <w:lvlJc w:val="left"/>
      <w:pPr>
        <w:ind w:left="2300" w:hanging="420"/>
      </w:pPr>
      <w:rPr>
        <w:rFonts w:cs="Times New Roman"/>
      </w:rPr>
    </w:lvl>
    <w:lvl w:ilvl="7" w:tplc="04090019" w:tentative="1">
      <w:start w:val="1"/>
      <w:numFmt w:val="lowerLetter"/>
      <w:lvlText w:val="%8)"/>
      <w:lvlJc w:val="left"/>
      <w:pPr>
        <w:ind w:left="2720" w:hanging="420"/>
      </w:pPr>
      <w:rPr>
        <w:rFonts w:cs="Times New Roman"/>
      </w:rPr>
    </w:lvl>
    <w:lvl w:ilvl="8" w:tplc="0409001B" w:tentative="1">
      <w:start w:val="1"/>
      <w:numFmt w:val="lowerRoman"/>
      <w:lvlText w:val="%9."/>
      <w:lvlJc w:val="right"/>
      <w:pPr>
        <w:ind w:left="3140" w:hanging="420"/>
      </w:pPr>
      <w:rPr>
        <w:rFonts w:cs="Times New Roman"/>
      </w:rPr>
    </w:lvl>
  </w:abstractNum>
  <w:abstractNum w:abstractNumId="1" w15:restartNumberingAfterBreak="0">
    <w:nsid w:val="46376287"/>
    <w:multiLevelType w:val="hybridMultilevel"/>
    <w:tmpl w:val="E5904DF0"/>
    <w:lvl w:ilvl="0" w:tplc="2AF67090">
      <w:start w:val="1"/>
      <w:numFmt w:val="japaneseCounting"/>
      <w:lvlText w:val="第%1章"/>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23"/>
    <w:rsid w:val="005C3885"/>
    <w:rsid w:val="00AC1ADD"/>
    <w:rsid w:val="00E8413D"/>
    <w:rsid w:val="00F23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A26C2-EED9-475F-9D28-E023C6EC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23"/>
    <w:pPr>
      <w:widowControl w:val="0"/>
      <w:jc w:val="both"/>
    </w:pPr>
  </w:style>
  <w:style w:type="paragraph" w:styleId="1">
    <w:name w:val="heading 1"/>
    <w:basedOn w:val="a"/>
    <w:next w:val="a"/>
    <w:link w:val="1Char"/>
    <w:uiPriority w:val="9"/>
    <w:qFormat/>
    <w:rsid w:val="00F23123"/>
    <w:pPr>
      <w:keepNext/>
      <w:keepLines/>
      <w:spacing w:before="340" w:after="330" w:line="578" w:lineRule="auto"/>
      <w:outlineLvl w:val="0"/>
    </w:pPr>
    <w:rPr>
      <w:rFonts w:ascii="Calibri" w:eastAsia="仿宋"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3123"/>
    <w:rPr>
      <w:rFonts w:ascii="Calibri" w:eastAsia="仿宋" w:hAnsi="Calibri" w:cs="Times New Roman"/>
      <w:b/>
      <w:bCs/>
      <w:kern w:val="44"/>
      <w:sz w:val="44"/>
      <w:szCs w:val="44"/>
    </w:rPr>
  </w:style>
  <w:style w:type="paragraph" w:styleId="10">
    <w:name w:val="toc 1"/>
    <w:basedOn w:val="a"/>
    <w:next w:val="a"/>
    <w:autoRedefine/>
    <w:uiPriority w:val="39"/>
    <w:unhideWhenUsed/>
    <w:rsid w:val="00F23123"/>
    <w:pPr>
      <w:spacing w:line="360" w:lineRule="auto"/>
    </w:pPr>
    <w:rPr>
      <w:rFonts w:ascii="Calibri" w:eastAsia="仿宋" w:hAnsi="Calibri" w:cs="Times New Roman"/>
      <w:sz w:val="30"/>
    </w:rPr>
  </w:style>
  <w:style w:type="character" w:styleId="a3">
    <w:name w:val="Hyperlink"/>
    <w:uiPriority w:val="99"/>
    <w:unhideWhenUsed/>
    <w:rsid w:val="00F23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王嫣雯</dc:creator>
  <cp:keywords/>
  <dc:description/>
  <cp:lastModifiedBy>王嫣雯</cp:lastModifiedBy>
  <cp:revision>2</cp:revision>
  <dcterms:created xsi:type="dcterms:W3CDTF">2015-06-29T01:23:00Z</dcterms:created>
  <dcterms:modified xsi:type="dcterms:W3CDTF">2015-06-29T05:56:00Z</dcterms:modified>
</cp:coreProperties>
</file>